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9" w:rsidRPr="00633F6E" w:rsidRDefault="00137961" w:rsidP="00633F6E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margin">
              <wp:posOffset>-333375</wp:posOffset>
            </wp:positionV>
            <wp:extent cx="192405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449567" name="STEM Policy Forum Easel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2" b="1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6E" w:rsidRPr="00AF392C" w:rsidRDefault="00137961" w:rsidP="00633F6E">
      <w:pPr>
        <w:rPr>
          <w:sz w:val="24"/>
          <w:szCs w:val="24"/>
        </w:rPr>
      </w:pPr>
    </w:p>
    <w:p w:rsidR="00A02FB7" w:rsidRDefault="00137961" w:rsidP="00AF392C">
      <w:pPr>
        <w:pStyle w:val="NoSpacing"/>
      </w:pPr>
    </w:p>
    <w:p w:rsidR="00A02FB7" w:rsidRDefault="00137961" w:rsidP="00AF392C">
      <w:pPr>
        <w:pStyle w:val="NoSpacing"/>
      </w:pPr>
    </w:p>
    <w:p w:rsidR="00216C19" w:rsidRDefault="00137961" w:rsidP="00AF392C">
      <w:pPr>
        <w:pStyle w:val="NoSpacing"/>
      </w:pPr>
      <w:r>
        <w:t xml:space="preserve">The Every Student Succeeds Act is now the law of the land! States have until April 3 or September 18, 2017 to submit their plans for compliance to the Department of Education (ED). As of February, nineteen </w:t>
      </w:r>
      <w:r w:rsidRPr="00AF392C">
        <w:t>states</w:t>
      </w:r>
      <w:r w:rsidRPr="00AF392C">
        <w:t xml:space="preserve"> and the District of Columbia</w:t>
      </w:r>
      <w:r w:rsidRPr="00AF392C">
        <w:t xml:space="preserve"> have released, submitted, or published at least a draft of their ESSA plans</w:t>
      </w:r>
      <w:r w:rsidRPr="00AF392C">
        <w:t>.</w:t>
      </w:r>
      <w:r>
        <w:t xml:space="preserve"> Below is an overview of which plans have included an emphasis on STEM, afterschool, and/or both.</w:t>
      </w:r>
    </w:p>
    <w:p w:rsidR="00AF392C" w:rsidRPr="00A26E53" w:rsidRDefault="00137961" w:rsidP="00AF392C">
      <w:pPr>
        <w:pStyle w:val="NoSpacing"/>
        <w:rPr>
          <w:b/>
          <w:sz w:val="16"/>
        </w:rPr>
      </w:pPr>
    </w:p>
    <w:p w:rsidR="00AF392C" w:rsidRPr="00AF392C" w:rsidRDefault="00137961" w:rsidP="00AF392C">
      <w:pPr>
        <w:pStyle w:val="NoSpacing"/>
        <w:rPr>
          <w:b/>
          <w:sz w:val="24"/>
        </w:rPr>
      </w:pPr>
      <w:r w:rsidRPr="00AF392C">
        <w:rPr>
          <w:b/>
          <w:sz w:val="24"/>
        </w:rPr>
        <w:t xml:space="preserve">Overview of </w:t>
      </w:r>
      <w:r>
        <w:rPr>
          <w:b/>
          <w:sz w:val="24"/>
        </w:rPr>
        <w:t xml:space="preserve">State </w:t>
      </w:r>
      <w:r w:rsidRPr="00AF392C">
        <w:rPr>
          <w:b/>
          <w:sz w:val="24"/>
        </w:rPr>
        <w:t>Plans:</w:t>
      </w:r>
    </w:p>
    <w:p w:rsidR="00D236C2" w:rsidRDefault="00137961" w:rsidP="00AF392C">
      <w:pPr>
        <w:pStyle w:val="NoSpacing"/>
        <w:numPr>
          <w:ilvl w:val="0"/>
          <w:numId w:val="3"/>
        </w:numPr>
      </w:pPr>
      <w:r w:rsidRPr="00AF392C">
        <w:t>Half of the published plan</w:t>
      </w:r>
      <w:r w:rsidRPr="00AF392C">
        <w:t xml:space="preserve">s </w:t>
      </w:r>
      <w:r>
        <w:t>have proposed an integrated focus on</w:t>
      </w:r>
      <w:r w:rsidRPr="00AF392C">
        <w:t xml:space="preserve"> informal, afterschool, or out-of-school learning as a strategy for student success. </w:t>
      </w:r>
    </w:p>
    <w:p w:rsidR="00F5312C" w:rsidRPr="00AF392C" w:rsidRDefault="00137961" w:rsidP="00AF392C">
      <w:pPr>
        <w:pStyle w:val="NoSpacing"/>
        <w:numPr>
          <w:ilvl w:val="0"/>
          <w:numId w:val="3"/>
        </w:numPr>
      </w:pPr>
      <w:r w:rsidRPr="00AF392C">
        <w:t xml:space="preserve">Another half of the plans </w:t>
      </w:r>
      <w:proofErr w:type="gramStart"/>
      <w:r w:rsidRPr="00AF392C">
        <w:t>have</w:t>
      </w:r>
      <w:proofErr w:type="gramEnd"/>
      <w:r w:rsidRPr="00AF392C">
        <w:t xml:space="preserve"> some focus on STEM. However, not many of the plans use the term “STEM”. </w:t>
      </w:r>
    </w:p>
    <w:p w:rsidR="00F5312C" w:rsidRPr="00AF392C" w:rsidRDefault="00137961" w:rsidP="004355BF">
      <w:pPr>
        <w:pStyle w:val="NoSpacing"/>
        <w:numPr>
          <w:ilvl w:val="1"/>
          <w:numId w:val="3"/>
        </w:numPr>
      </w:pPr>
      <w:r w:rsidRPr="00AF392C">
        <w:t>States using Next Generation</w:t>
      </w:r>
      <w:r w:rsidRPr="00AF392C">
        <w:t xml:space="preserve"> Science Standards are, to varying degrees, embracing integrated STEM learning.</w:t>
      </w:r>
    </w:p>
    <w:p w:rsidR="00216C19" w:rsidRDefault="00137961" w:rsidP="004355BF">
      <w:pPr>
        <w:pStyle w:val="NoSpacing"/>
        <w:numPr>
          <w:ilvl w:val="1"/>
          <w:numId w:val="3"/>
        </w:numPr>
      </w:pPr>
      <w:r w:rsidRPr="00AF392C">
        <w:t>Many states</w:t>
      </w:r>
      <w:r w:rsidRPr="00AF392C">
        <w:t xml:space="preserve"> are also explicitly addressing engineering in addition to math and science, but not necessarily technology.    </w:t>
      </w:r>
    </w:p>
    <w:p w:rsidR="00AF392C" w:rsidRDefault="00137961" w:rsidP="004355BF">
      <w:pPr>
        <w:pStyle w:val="NoSpacing"/>
        <w:numPr>
          <w:ilvl w:val="1"/>
          <w:numId w:val="3"/>
        </w:numPr>
      </w:pPr>
      <w:r>
        <w:t>We only stated that a state has placed an emphasis o</w:t>
      </w:r>
      <w:r>
        <w:t>n STEM if they discussed STEM in their plan beyond what’s required by ESSA</w:t>
      </w:r>
    </w:p>
    <w:p w:rsidR="004355BF" w:rsidRDefault="00137961" w:rsidP="004355BF">
      <w:pPr>
        <w:pStyle w:val="NoSpacing"/>
        <w:numPr>
          <w:ilvl w:val="0"/>
          <w:numId w:val="3"/>
        </w:numPr>
      </w:pPr>
      <w:r>
        <w:t>Seven of the nineteen plans include some mention of STEM and/or afterschool in their plan for Title IV, Part A, Student Support and Academic Enrichment Grants.</w:t>
      </w:r>
    </w:p>
    <w:p w:rsidR="00A26E53" w:rsidRDefault="00137961" w:rsidP="00A26E53">
      <w:pPr>
        <w:pStyle w:val="NoSpacing"/>
        <w:numPr>
          <w:ilvl w:val="0"/>
          <w:numId w:val="3"/>
        </w:numPr>
      </w:pPr>
      <w:r>
        <w:t>Colorado, Iowa, North</w:t>
      </w:r>
      <w:r>
        <w:t xml:space="preserve"> Dakota, Oregon, and Tennessee include STEM and afterschool while also mentioning these areas in their Title IV, Part A proposal. </w:t>
      </w:r>
    </w:p>
    <w:p w:rsidR="00A26E53" w:rsidRPr="00A26E53" w:rsidRDefault="00137961" w:rsidP="00A26E53">
      <w:pPr>
        <w:pStyle w:val="NoSpacing"/>
        <w:ind w:left="720"/>
        <w:rPr>
          <w:sz w:val="16"/>
        </w:rPr>
      </w:pPr>
    </w:p>
    <w:tbl>
      <w:tblPr>
        <w:tblStyle w:val="LightList-Accent5"/>
        <w:tblW w:w="7331" w:type="dxa"/>
        <w:jc w:val="center"/>
        <w:tblLook w:val="04A0" w:firstRow="1" w:lastRow="0" w:firstColumn="1" w:lastColumn="0" w:noHBand="0" w:noVBand="1"/>
      </w:tblPr>
      <w:tblGrid>
        <w:gridCol w:w="3371"/>
        <w:gridCol w:w="1080"/>
        <w:gridCol w:w="1440"/>
        <w:gridCol w:w="1440"/>
      </w:tblGrid>
      <w:tr w:rsidR="00C00B3A" w:rsidTr="00C00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A35B50">
            <w:pPr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FFFFFF"/>
                <w:sz w:val="24"/>
                <w:szCs w:val="24"/>
              </w:rPr>
              <w:t>State</w:t>
            </w:r>
            <w:r>
              <w:rPr>
                <w:rFonts w:eastAsia="Times New Roman" w:cs="Arial"/>
                <w:color w:val="FFFFFF"/>
                <w:sz w:val="24"/>
                <w:szCs w:val="24"/>
              </w:rPr>
              <w:t xml:space="preserve"> and Submission Date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FFFFFF"/>
                <w:sz w:val="24"/>
                <w:szCs w:val="24"/>
              </w:rPr>
              <w:t>STEM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24"/>
                <w:szCs w:val="24"/>
              </w:rPr>
            </w:pPr>
            <w:r>
              <w:rPr>
                <w:rFonts w:eastAsia="Times New Roman" w:cs="Arial"/>
                <w:color w:val="FFFFFF"/>
                <w:sz w:val="24"/>
                <w:szCs w:val="24"/>
              </w:rPr>
              <w:t>Afters</w:t>
            </w:r>
            <w:r w:rsidRPr="00AF392C">
              <w:rPr>
                <w:rFonts w:eastAsia="Times New Roman" w:cs="Arial"/>
                <w:color w:val="FFFFFF"/>
                <w:sz w:val="24"/>
                <w:szCs w:val="24"/>
              </w:rPr>
              <w:t>chool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FFFFFF"/>
                <w:sz w:val="24"/>
                <w:szCs w:val="24"/>
              </w:rPr>
              <w:t>Title IV.A</w:t>
            </w: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35B50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Arizona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1/15/17)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</w:tcPr>
          <w:p w:rsidR="00A35B50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Alaska (4/21/17)</w:t>
            </w:r>
          </w:p>
        </w:tc>
        <w:tc>
          <w:tcPr>
            <w:tcW w:w="1080" w:type="dxa"/>
            <w:noWrap/>
          </w:tcPr>
          <w:p w:rsidR="00A35B50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</w:tcPr>
          <w:p w:rsidR="00A35B50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</w:tcPr>
          <w:p w:rsidR="00A35B50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</w:tcPr>
          <w:p w:rsidR="00A35B50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080" w:type="dxa"/>
            <w:noWrap/>
          </w:tcPr>
          <w:p w:rsidR="00A35B50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</w:tcPr>
          <w:p w:rsidR="00A35B50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</w:tcPr>
          <w:p w:rsidR="00A35B50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Colorado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2/10/17)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Delaware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11/1/16)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District of Columbia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1/30/17)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Hawaii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12/28/16)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Idaho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11/2/16)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Iowa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1/6/17)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Illinois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11/18/16)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Kentucky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11/1/16)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Louisiana (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9/28/16)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Maryland (12/5/16)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Michigan (2/14/17)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Montana (12/15/16)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North Carolina (9/30/16)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North Dakota (1/13/17)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Ohio (1/19/17)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Oklahoma 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1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1/21/16)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F330A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Oregon (2/13/17)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  <w:tr w:rsidR="00C00B3A" w:rsidTr="00C0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4355B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Tennessee 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12/19/16)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  <w:tr w:rsidR="00C00B3A" w:rsidTr="00C00B3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noWrap/>
            <w:hideMark/>
          </w:tcPr>
          <w:p w:rsidR="00AF392C" w:rsidRPr="00AF392C" w:rsidRDefault="00137961" w:rsidP="00F330A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Washington 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11/16/16)</w:t>
            </w:r>
          </w:p>
        </w:tc>
        <w:tc>
          <w:tcPr>
            <w:tcW w:w="108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F392C" w:rsidRPr="00AF392C" w:rsidRDefault="00137961" w:rsidP="00AF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F392C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AF392C" w:rsidRPr="00A26E53" w:rsidRDefault="00137961" w:rsidP="00A26E53"/>
    <w:sectPr w:rsidR="00AF392C" w:rsidRPr="00A26E53" w:rsidSect="00A02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32.25pt" o:bullet="t">
        <v:imagedata r:id="rId1" o:title="thumb-laboratory-test-tube-33"/>
      </v:shape>
    </w:pict>
  </w:numPicBullet>
  <w:abstractNum w:abstractNumId="0">
    <w:nsid w:val="3A144DF6"/>
    <w:multiLevelType w:val="hybridMultilevel"/>
    <w:tmpl w:val="4D9CD012"/>
    <w:lvl w:ilvl="0" w:tplc="EFB8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2E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CD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E3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2E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48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6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C7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EE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0B31"/>
    <w:multiLevelType w:val="hybridMultilevel"/>
    <w:tmpl w:val="0974E140"/>
    <w:lvl w:ilvl="0" w:tplc="6084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2D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E2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EC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A9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20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67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C9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71A9"/>
    <w:multiLevelType w:val="hybridMultilevel"/>
    <w:tmpl w:val="D03E6E02"/>
    <w:lvl w:ilvl="0" w:tplc="0EF8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008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48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A9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E8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CC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4C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07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A"/>
    <w:rsid w:val="00137961"/>
    <w:rsid w:val="00C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1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16C19"/>
    <w:rPr>
      <w:i/>
      <w:iCs/>
    </w:rPr>
  </w:style>
  <w:style w:type="character" w:styleId="Hyperlink">
    <w:name w:val="Hyperlink"/>
    <w:basedOn w:val="DefaultParagraphFont"/>
    <w:uiPriority w:val="99"/>
    <w:unhideWhenUsed/>
    <w:rsid w:val="00216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92C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A35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35B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1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16C19"/>
    <w:rPr>
      <w:i/>
      <w:iCs/>
    </w:rPr>
  </w:style>
  <w:style w:type="character" w:styleId="Hyperlink">
    <w:name w:val="Hyperlink"/>
    <w:basedOn w:val="DefaultParagraphFont"/>
    <w:uiPriority w:val="99"/>
    <w:unhideWhenUsed/>
    <w:rsid w:val="00216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92C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A35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35B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Saccente</dc:creator>
  <cp:lastModifiedBy>Laura Saccenta</cp:lastModifiedBy>
  <cp:revision>2</cp:revision>
  <dcterms:created xsi:type="dcterms:W3CDTF">2017-05-19T19:54:00Z</dcterms:created>
  <dcterms:modified xsi:type="dcterms:W3CDTF">2017-05-19T19:54:00Z</dcterms:modified>
</cp:coreProperties>
</file>