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C6" w:rsidRDefault="00807CC6" w:rsidP="007146A3">
      <w:pPr>
        <w:tabs>
          <w:tab w:val="left" w:pos="90"/>
        </w:tabs>
        <w:jc w:val="center"/>
        <w:rPr>
          <w:b/>
          <w:sz w:val="20"/>
          <w:szCs w:val="20"/>
        </w:rPr>
      </w:pPr>
    </w:p>
    <w:p w:rsidR="00E4277B" w:rsidRPr="007146A3" w:rsidRDefault="00F0594C" w:rsidP="007146A3">
      <w:pPr>
        <w:tabs>
          <w:tab w:val="left" w:pos="90"/>
        </w:tabs>
        <w:jc w:val="center"/>
        <w:rPr>
          <w:b/>
          <w:sz w:val="20"/>
          <w:szCs w:val="20"/>
        </w:rPr>
      </w:pPr>
      <w:r w:rsidRPr="007146A3">
        <w:rPr>
          <w:b/>
          <w:sz w:val="20"/>
          <w:szCs w:val="20"/>
        </w:rPr>
        <w:t>Examples of Afterschool in State ESSA Plans:</w:t>
      </w:r>
    </w:p>
    <w:p w:rsidR="00066BC9" w:rsidRPr="007146A3" w:rsidRDefault="003513A1" w:rsidP="007146A3">
      <w:pPr>
        <w:pStyle w:val="ListParagraph"/>
        <w:numPr>
          <w:ilvl w:val="0"/>
          <w:numId w:val="1"/>
        </w:numPr>
        <w:tabs>
          <w:tab w:val="left" w:pos="90"/>
        </w:tabs>
        <w:rPr>
          <w:sz w:val="20"/>
          <w:szCs w:val="20"/>
        </w:rPr>
      </w:pPr>
      <w:r>
        <w:rPr>
          <w:sz w:val="20"/>
          <w:szCs w:val="20"/>
        </w:rPr>
        <w:t>Sixteen</w:t>
      </w:r>
      <w:r w:rsidR="00066BC9" w:rsidRPr="007146A3">
        <w:rPr>
          <w:sz w:val="20"/>
          <w:szCs w:val="20"/>
        </w:rPr>
        <w:t xml:space="preserve"> states </w:t>
      </w:r>
      <w:r>
        <w:rPr>
          <w:sz w:val="20"/>
          <w:szCs w:val="20"/>
        </w:rPr>
        <w:t>and DC</w:t>
      </w:r>
      <w:r w:rsidR="00066BC9" w:rsidRPr="007146A3">
        <w:rPr>
          <w:sz w:val="20"/>
          <w:szCs w:val="20"/>
        </w:rPr>
        <w:t xml:space="preserve"> </w:t>
      </w:r>
      <w:r>
        <w:rPr>
          <w:sz w:val="20"/>
          <w:szCs w:val="20"/>
        </w:rPr>
        <w:t>submitted</w:t>
      </w:r>
      <w:r w:rsidR="00066BC9" w:rsidRPr="007146A3">
        <w:rPr>
          <w:sz w:val="20"/>
          <w:szCs w:val="20"/>
        </w:rPr>
        <w:t xml:space="preserve"> </w:t>
      </w:r>
      <w:r>
        <w:rPr>
          <w:sz w:val="20"/>
          <w:szCs w:val="20"/>
        </w:rPr>
        <w:t>consolidated plans for the May</w:t>
      </w:r>
      <w:r w:rsidR="00066BC9" w:rsidRPr="007146A3">
        <w:rPr>
          <w:sz w:val="20"/>
          <w:szCs w:val="20"/>
        </w:rPr>
        <w:t xml:space="preserve"> 3 deadline.</w:t>
      </w:r>
    </w:p>
    <w:p w:rsidR="00066BC9" w:rsidRPr="007146A3" w:rsidRDefault="00066BC9" w:rsidP="007146A3">
      <w:pPr>
        <w:pStyle w:val="ListParagraph"/>
        <w:numPr>
          <w:ilvl w:val="0"/>
          <w:numId w:val="1"/>
        </w:numPr>
        <w:tabs>
          <w:tab w:val="left" w:pos="90"/>
        </w:tabs>
        <w:rPr>
          <w:sz w:val="20"/>
          <w:szCs w:val="20"/>
        </w:rPr>
      </w:pPr>
      <w:r w:rsidRPr="007146A3">
        <w:rPr>
          <w:sz w:val="20"/>
          <w:szCs w:val="20"/>
        </w:rPr>
        <w:t xml:space="preserve">At least four state plans include mention of student access to afterschool and/or extracurricular activities as an explicit indicator for reporting or accountability. </w:t>
      </w:r>
      <w:r w:rsidR="007146A3">
        <w:rPr>
          <w:sz w:val="20"/>
          <w:szCs w:val="20"/>
        </w:rPr>
        <w:t>(NV</w:t>
      </w:r>
      <w:r w:rsidRPr="007146A3">
        <w:rPr>
          <w:sz w:val="20"/>
          <w:szCs w:val="20"/>
        </w:rPr>
        <w:t>, LA, OR, ND</w:t>
      </w:r>
      <w:r w:rsidR="006C7C08">
        <w:rPr>
          <w:sz w:val="20"/>
          <w:szCs w:val="20"/>
        </w:rPr>
        <w:t>, discussed in NC</w:t>
      </w:r>
      <w:r w:rsidRPr="007146A3">
        <w:rPr>
          <w:sz w:val="20"/>
          <w:szCs w:val="20"/>
        </w:rPr>
        <w:t>)</w:t>
      </w:r>
    </w:p>
    <w:p w:rsidR="00066BC9" w:rsidRPr="007146A3" w:rsidRDefault="00066BC9" w:rsidP="007146A3">
      <w:pPr>
        <w:pStyle w:val="ListParagraph"/>
        <w:numPr>
          <w:ilvl w:val="0"/>
          <w:numId w:val="1"/>
        </w:numPr>
        <w:tabs>
          <w:tab w:val="left" w:pos="90"/>
        </w:tabs>
        <w:rPr>
          <w:sz w:val="20"/>
          <w:szCs w:val="20"/>
        </w:rPr>
      </w:pPr>
      <w:r w:rsidRPr="007146A3">
        <w:rPr>
          <w:sz w:val="20"/>
          <w:szCs w:val="20"/>
        </w:rPr>
        <w:t>Fifteen states have proposed accountability indicator systems which track chronic absenteeism</w:t>
      </w:r>
    </w:p>
    <w:p w:rsidR="00066BC9" w:rsidRPr="007146A3" w:rsidRDefault="00066BC9" w:rsidP="007146A3">
      <w:pPr>
        <w:pStyle w:val="ListParagraph"/>
        <w:numPr>
          <w:ilvl w:val="0"/>
          <w:numId w:val="1"/>
        </w:numPr>
        <w:tabs>
          <w:tab w:val="left" w:pos="90"/>
        </w:tabs>
        <w:rPr>
          <w:sz w:val="20"/>
          <w:szCs w:val="20"/>
        </w:rPr>
      </w:pPr>
      <w:r w:rsidRPr="007146A3">
        <w:rPr>
          <w:sz w:val="20"/>
          <w:szCs w:val="20"/>
        </w:rPr>
        <w:t>18 states have proposed an indicator around college and career readiness</w:t>
      </w:r>
    </w:p>
    <w:p w:rsidR="00066BC9" w:rsidRPr="00807CC6" w:rsidRDefault="00066BC9" w:rsidP="007146A3">
      <w:pPr>
        <w:pStyle w:val="ListParagraph"/>
        <w:numPr>
          <w:ilvl w:val="0"/>
          <w:numId w:val="1"/>
        </w:numPr>
        <w:tabs>
          <w:tab w:val="left" w:pos="90"/>
        </w:tabs>
        <w:rPr>
          <w:sz w:val="20"/>
          <w:szCs w:val="20"/>
        </w:rPr>
      </w:pPr>
      <w:r w:rsidRPr="007146A3">
        <w:rPr>
          <w:sz w:val="20"/>
          <w:szCs w:val="20"/>
        </w:rPr>
        <w:t>Other indicators include: climate surveys, access to the arts</w:t>
      </w:r>
      <w:r w:rsidR="00FD2C68" w:rsidRPr="007146A3">
        <w:rPr>
          <w:sz w:val="20"/>
          <w:szCs w:val="20"/>
        </w:rPr>
        <w:t>/broad curriculum</w:t>
      </w:r>
      <w:r w:rsidRPr="007146A3">
        <w:rPr>
          <w:sz w:val="20"/>
          <w:szCs w:val="20"/>
        </w:rPr>
        <w:t>, teacher longevity, physical fitness</w:t>
      </w:r>
    </w:p>
    <w:tbl>
      <w:tblPr>
        <w:tblStyle w:val="TableGrid"/>
        <w:tblW w:w="0" w:type="auto"/>
        <w:tblLook w:val="04A0" w:firstRow="1" w:lastRow="0" w:firstColumn="1" w:lastColumn="0" w:noHBand="0" w:noVBand="1"/>
      </w:tblPr>
      <w:tblGrid>
        <w:gridCol w:w="1380"/>
        <w:gridCol w:w="1260"/>
        <w:gridCol w:w="7345"/>
      </w:tblGrid>
      <w:tr w:rsidR="007146A3" w:rsidRPr="007146A3" w:rsidTr="007146A3">
        <w:tc>
          <w:tcPr>
            <w:tcW w:w="1380" w:type="dxa"/>
          </w:tcPr>
          <w:p w:rsidR="00F0594C" w:rsidRPr="007146A3" w:rsidRDefault="004F6504" w:rsidP="007146A3">
            <w:pPr>
              <w:tabs>
                <w:tab w:val="left" w:pos="90"/>
              </w:tabs>
              <w:rPr>
                <w:b/>
                <w:sz w:val="20"/>
                <w:szCs w:val="20"/>
              </w:rPr>
            </w:pPr>
            <w:r w:rsidRPr="007146A3">
              <w:rPr>
                <w:b/>
                <w:sz w:val="20"/>
                <w:szCs w:val="20"/>
              </w:rPr>
              <w:t>Topic</w:t>
            </w:r>
          </w:p>
        </w:tc>
        <w:tc>
          <w:tcPr>
            <w:tcW w:w="1260" w:type="dxa"/>
          </w:tcPr>
          <w:p w:rsidR="00F0594C" w:rsidRPr="007146A3" w:rsidRDefault="004F6504" w:rsidP="007146A3">
            <w:pPr>
              <w:tabs>
                <w:tab w:val="left" w:pos="90"/>
              </w:tabs>
              <w:rPr>
                <w:b/>
                <w:sz w:val="20"/>
                <w:szCs w:val="20"/>
              </w:rPr>
            </w:pPr>
            <w:r w:rsidRPr="007146A3">
              <w:rPr>
                <w:b/>
                <w:sz w:val="20"/>
                <w:szCs w:val="20"/>
              </w:rPr>
              <w:t>State</w:t>
            </w:r>
          </w:p>
        </w:tc>
        <w:tc>
          <w:tcPr>
            <w:tcW w:w="7345" w:type="dxa"/>
          </w:tcPr>
          <w:p w:rsidR="00F0594C" w:rsidRPr="007146A3" w:rsidRDefault="00F0594C" w:rsidP="007146A3">
            <w:pPr>
              <w:tabs>
                <w:tab w:val="left" w:pos="90"/>
              </w:tabs>
              <w:rPr>
                <w:b/>
                <w:sz w:val="20"/>
                <w:szCs w:val="20"/>
              </w:rPr>
            </w:pPr>
            <w:r w:rsidRPr="007146A3">
              <w:rPr>
                <w:b/>
                <w:sz w:val="20"/>
                <w:szCs w:val="20"/>
              </w:rPr>
              <w:t>Ideas</w:t>
            </w:r>
          </w:p>
        </w:tc>
      </w:tr>
      <w:tr w:rsidR="004F6504" w:rsidRPr="007146A3" w:rsidTr="007146A3">
        <w:tc>
          <w:tcPr>
            <w:tcW w:w="1380" w:type="dxa"/>
          </w:tcPr>
          <w:p w:rsidR="004F6504" w:rsidRPr="007146A3" w:rsidRDefault="004F6504" w:rsidP="007146A3">
            <w:pPr>
              <w:tabs>
                <w:tab w:val="left" w:pos="90"/>
              </w:tabs>
              <w:rPr>
                <w:sz w:val="20"/>
                <w:szCs w:val="20"/>
              </w:rPr>
            </w:pPr>
            <w:r w:rsidRPr="007146A3">
              <w:rPr>
                <w:sz w:val="20"/>
                <w:szCs w:val="20"/>
              </w:rPr>
              <w:t xml:space="preserve">Stakeholder Involvement </w:t>
            </w:r>
          </w:p>
        </w:tc>
        <w:tc>
          <w:tcPr>
            <w:tcW w:w="1260" w:type="dxa"/>
          </w:tcPr>
          <w:p w:rsidR="004F6504" w:rsidRPr="007146A3" w:rsidRDefault="004F6504" w:rsidP="007146A3">
            <w:pPr>
              <w:tabs>
                <w:tab w:val="left" w:pos="90"/>
              </w:tabs>
              <w:rPr>
                <w:sz w:val="20"/>
                <w:szCs w:val="20"/>
              </w:rPr>
            </w:pPr>
            <w:r w:rsidRPr="007146A3">
              <w:rPr>
                <w:sz w:val="20"/>
                <w:szCs w:val="20"/>
              </w:rPr>
              <w:t>New Mexico</w:t>
            </w:r>
          </w:p>
        </w:tc>
        <w:tc>
          <w:tcPr>
            <w:tcW w:w="7345" w:type="dxa"/>
          </w:tcPr>
          <w:p w:rsidR="004F6504" w:rsidRPr="007146A3" w:rsidRDefault="004F6504" w:rsidP="007146A3">
            <w:pPr>
              <w:tabs>
                <w:tab w:val="left" w:pos="90"/>
              </w:tabs>
              <w:rPr>
                <w:sz w:val="20"/>
                <w:szCs w:val="20"/>
              </w:rPr>
            </w:pPr>
            <w:r w:rsidRPr="007146A3">
              <w:rPr>
                <w:sz w:val="20"/>
                <w:szCs w:val="20"/>
              </w:rPr>
              <w:t>All attendees had the opportunity to request any special accommodations needed for their participation including: translators, interpreters, dietary needs, child care, etc. All accommodati</w:t>
            </w:r>
            <w:r w:rsidR="00881CD2">
              <w:rPr>
                <w:sz w:val="20"/>
                <w:szCs w:val="20"/>
              </w:rPr>
              <w:t xml:space="preserve">on </w:t>
            </w:r>
            <w:r w:rsidRPr="007146A3">
              <w:rPr>
                <w:sz w:val="20"/>
                <w:szCs w:val="20"/>
              </w:rPr>
              <w:t>requests were met, in order to ensure that every stakeholder who wanted to attend a meeting was able to do so.</w:t>
            </w:r>
          </w:p>
        </w:tc>
      </w:tr>
      <w:tr w:rsidR="007146A3" w:rsidRPr="007146A3" w:rsidTr="007146A3">
        <w:tc>
          <w:tcPr>
            <w:tcW w:w="1380" w:type="dxa"/>
          </w:tcPr>
          <w:p w:rsidR="00F0594C" w:rsidRPr="007146A3" w:rsidRDefault="00FD2C68" w:rsidP="007146A3">
            <w:pPr>
              <w:tabs>
                <w:tab w:val="left" w:pos="90"/>
              </w:tabs>
              <w:rPr>
                <w:sz w:val="20"/>
                <w:szCs w:val="20"/>
              </w:rPr>
            </w:pPr>
            <w:r w:rsidRPr="007146A3">
              <w:rPr>
                <w:sz w:val="20"/>
                <w:szCs w:val="20"/>
              </w:rPr>
              <w:t>Needs Assessments</w:t>
            </w:r>
          </w:p>
        </w:tc>
        <w:tc>
          <w:tcPr>
            <w:tcW w:w="1260" w:type="dxa"/>
          </w:tcPr>
          <w:p w:rsidR="00F0594C" w:rsidRPr="007146A3" w:rsidRDefault="00FD2C68" w:rsidP="007146A3">
            <w:pPr>
              <w:tabs>
                <w:tab w:val="left" w:pos="90"/>
              </w:tabs>
              <w:rPr>
                <w:sz w:val="20"/>
                <w:szCs w:val="20"/>
              </w:rPr>
            </w:pPr>
            <w:r w:rsidRPr="007146A3">
              <w:rPr>
                <w:sz w:val="20"/>
                <w:szCs w:val="20"/>
              </w:rPr>
              <w:t>North Carolina</w:t>
            </w:r>
          </w:p>
        </w:tc>
        <w:tc>
          <w:tcPr>
            <w:tcW w:w="7345" w:type="dxa"/>
          </w:tcPr>
          <w:p w:rsidR="00F0594C" w:rsidRPr="007146A3" w:rsidRDefault="00066BC9" w:rsidP="007146A3">
            <w:pPr>
              <w:tabs>
                <w:tab w:val="left" w:pos="90"/>
              </w:tabs>
              <w:rPr>
                <w:sz w:val="20"/>
                <w:szCs w:val="20"/>
              </w:rPr>
            </w:pPr>
            <w:r w:rsidRPr="007146A3">
              <w:rPr>
                <w:sz w:val="20"/>
                <w:szCs w:val="20"/>
              </w:rPr>
              <w:t xml:space="preserve">NC has a school level needs assessment </w:t>
            </w:r>
            <w:r w:rsidR="006C7C08">
              <w:rPr>
                <w:sz w:val="20"/>
                <w:szCs w:val="20"/>
              </w:rPr>
              <w:t>–</w:t>
            </w:r>
            <w:r w:rsidRPr="007146A3">
              <w:rPr>
                <w:sz w:val="20"/>
                <w:szCs w:val="20"/>
              </w:rPr>
              <w:t xml:space="preserve"> and C.N.A crosswalk  where interventions includes </w:t>
            </w:r>
            <w:r w:rsidR="006C7C08">
              <w:rPr>
                <w:sz w:val="20"/>
                <w:szCs w:val="20"/>
              </w:rPr>
              <w:t>“</w:t>
            </w:r>
            <w:r w:rsidRPr="007146A3">
              <w:rPr>
                <w:sz w:val="20"/>
                <w:szCs w:val="20"/>
              </w:rPr>
              <w:t>The school provides all students extended learning opportunities (e.g., summer bridge programs, after-school and supplemental educational services, Saturday academies, enrichment programs)</w:t>
            </w:r>
            <w:r w:rsidR="00FD2C68" w:rsidRPr="007146A3">
              <w:rPr>
                <w:sz w:val="20"/>
                <w:szCs w:val="20"/>
              </w:rPr>
              <w:t>”</w:t>
            </w:r>
          </w:p>
        </w:tc>
      </w:tr>
      <w:tr w:rsidR="007146A3" w:rsidRPr="007146A3" w:rsidTr="007146A3">
        <w:tc>
          <w:tcPr>
            <w:tcW w:w="1380" w:type="dxa"/>
          </w:tcPr>
          <w:p w:rsidR="00FD2C68" w:rsidRPr="007146A3" w:rsidRDefault="00FD2C68" w:rsidP="007146A3">
            <w:pPr>
              <w:tabs>
                <w:tab w:val="left" w:pos="90"/>
              </w:tabs>
              <w:rPr>
                <w:sz w:val="20"/>
                <w:szCs w:val="20"/>
              </w:rPr>
            </w:pPr>
            <w:r w:rsidRPr="007146A3">
              <w:rPr>
                <w:sz w:val="20"/>
                <w:szCs w:val="20"/>
              </w:rPr>
              <w:t>Intervention Strategies</w:t>
            </w:r>
          </w:p>
          <w:p w:rsidR="00F0594C" w:rsidRPr="007146A3" w:rsidRDefault="00F0594C" w:rsidP="007146A3">
            <w:pPr>
              <w:tabs>
                <w:tab w:val="left" w:pos="90"/>
              </w:tabs>
              <w:rPr>
                <w:sz w:val="20"/>
                <w:szCs w:val="20"/>
              </w:rPr>
            </w:pPr>
          </w:p>
        </w:tc>
        <w:tc>
          <w:tcPr>
            <w:tcW w:w="1260" w:type="dxa"/>
          </w:tcPr>
          <w:p w:rsidR="00FD2C68" w:rsidRPr="007146A3" w:rsidRDefault="00FD2C68" w:rsidP="007146A3">
            <w:pPr>
              <w:tabs>
                <w:tab w:val="left" w:pos="90"/>
              </w:tabs>
              <w:rPr>
                <w:sz w:val="20"/>
                <w:szCs w:val="20"/>
              </w:rPr>
            </w:pPr>
            <w:r w:rsidRPr="007146A3">
              <w:rPr>
                <w:sz w:val="20"/>
                <w:szCs w:val="20"/>
              </w:rPr>
              <w:t>Tennessee</w:t>
            </w:r>
          </w:p>
        </w:tc>
        <w:tc>
          <w:tcPr>
            <w:tcW w:w="7345" w:type="dxa"/>
          </w:tcPr>
          <w:p w:rsidR="00F0594C" w:rsidRPr="007146A3" w:rsidRDefault="00FD2C68" w:rsidP="007146A3">
            <w:pPr>
              <w:tabs>
                <w:tab w:val="left" w:pos="90"/>
              </w:tabs>
              <w:rPr>
                <w:sz w:val="20"/>
                <w:szCs w:val="20"/>
              </w:rPr>
            </w:pPr>
            <w:r w:rsidRPr="007146A3">
              <w:rPr>
                <w:sz w:val="20"/>
                <w:szCs w:val="20"/>
              </w:rPr>
              <w:t>TN has a table of interventions strategies (pg 160) which includes a section for strategies beyond the school day which includes afterschool and summer programs</w:t>
            </w:r>
          </w:p>
        </w:tc>
      </w:tr>
      <w:tr w:rsidR="00FD2C68" w:rsidRPr="007146A3" w:rsidTr="007146A3">
        <w:tc>
          <w:tcPr>
            <w:tcW w:w="1380" w:type="dxa"/>
          </w:tcPr>
          <w:p w:rsidR="00FD2C68" w:rsidRPr="007146A3" w:rsidRDefault="00FD2C68" w:rsidP="007146A3">
            <w:pPr>
              <w:tabs>
                <w:tab w:val="left" w:pos="90"/>
              </w:tabs>
              <w:rPr>
                <w:sz w:val="20"/>
                <w:szCs w:val="20"/>
              </w:rPr>
            </w:pPr>
            <w:r w:rsidRPr="007146A3">
              <w:rPr>
                <w:sz w:val="20"/>
                <w:szCs w:val="20"/>
              </w:rPr>
              <w:t>Accountability</w:t>
            </w:r>
          </w:p>
          <w:p w:rsidR="00FD2C68" w:rsidRPr="007146A3" w:rsidRDefault="00FD2C68" w:rsidP="007146A3">
            <w:pPr>
              <w:tabs>
                <w:tab w:val="left" w:pos="90"/>
              </w:tabs>
              <w:rPr>
                <w:sz w:val="20"/>
                <w:szCs w:val="20"/>
              </w:rPr>
            </w:pPr>
            <w:r w:rsidRPr="007146A3">
              <w:rPr>
                <w:sz w:val="20"/>
                <w:szCs w:val="20"/>
              </w:rPr>
              <w:t>Indicators (future/</w:t>
            </w:r>
          </w:p>
          <w:p w:rsidR="00FD2C68" w:rsidRPr="007146A3" w:rsidRDefault="00FD2C68" w:rsidP="007146A3">
            <w:pPr>
              <w:tabs>
                <w:tab w:val="left" w:pos="90"/>
              </w:tabs>
              <w:rPr>
                <w:sz w:val="20"/>
                <w:szCs w:val="20"/>
              </w:rPr>
            </w:pPr>
            <w:r w:rsidRPr="007146A3">
              <w:rPr>
                <w:sz w:val="20"/>
                <w:szCs w:val="20"/>
              </w:rPr>
              <w:t>proposed)</w:t>
            </w:r>
          </w:p>
        </w:tc>
        <w:tc>
          <w:tcPr>
            <w:tcW w:w="1260" w:type="dxa"/>
          </w:tcPr>
          <w:p w:rsidR="00FD2C68" w:rsidRPr="007146A3" w:rsidRDefault="00FD2C68" w:rsidP="007146A3">
            <w:pPr>
              <w:tabs>
                <w:tab w:val="left" w:pos="90"/>
              </w:tabs>
              <w:rPr>
                <w:sz w:val="20"/>
                <w:szCs w:val="20"/>
              </w:rPr>
            </w:pPr>
            <w:r w:rsidRPr="007146A3">
              <w:rPr>
                <w:sz w:val="20"/>
                <w:szCs w:val="20"/>
              </w:rPr>
              <w:t>Nevada</w:t>
            </w:r>
          </w:p>
        </w:tc>
        <w:tc>
          <w:tcPr>
            <w:tcW w:w="7345" w:type="dxa"/>
          </w:tcPr>
          <w:p w:rsidR="00FD2C68" w:rsidRPr="007146A3" w:rsidRDefault="00FD2C68" w:rsidP="007146A3">
            <w:pPr>
              <w:tabs>
                <w:tab w:val="left" w:pos="90"/>
              </w:tabs>
              <w:rPr>
                <w:sz w:val="20"/>
                <w:szCs w:val="20"/>
              </w:rPr>
            </w:pPr>
            <w:r w:rsidRPr="007146A3">
              <w:rPr>
                <w:sz w:val="20"/>
                <w:szCs w:val="20"/>
              </w:rPr>
              <w:t>NV will be reviewing feasibility of a few afterschool related additions to its accountability system: promote and track student access and participation in before and after school clubs, sports, enrichment, and/or activities; Compare percentage of clubs and capacity to the percentage of students enrolled; track that schools allocate adequate funding and personnel for before and after school activities</w:t>
            </w:r>
          </w:p>
        </w:tc>
      </w:tr>
      <w:tr w:rsidR="00FD2C68" w:rsidRPr="007146A3" w:rsidTr="007146A3">
        <w:tc>
          <w:tcPr>
            <w:tcW w:w="1380" w:type="dxa"/>
          </w:tcPr>
          <w:p w:rsidR="00FD2C68" w:rsidRPr="007146A3" w:rsidRDefault="00FD2C68" w:rsidP="007146A3">
            <w:pPr>
              <w:tabs>
                <w:tab w:val="left" w:pos="90"/>
              </w:tabs>
              <w:rPr>
                <w:sz w:val="20"/>
                <w:szCs w:val="20"/>
              </w:rPr>
            </w:pPr>
            <w:r w:rsidRPr="007146A3">
              <w:rPr>
                <w:sz w:val="20"/>
                <w:szCs w:val="20"/>
              </w:rPr>
              <w:t>Accountability Indicators (future/</w:t>
            </w:r>
          </w:p>
          <w:p w:rsidR="00FD2C68" w:rsidRPr="007146A3" w:rsidRDefault="00FD2C68" w:rsidP="007146A3">
            <w:pPr>
              <w:tabs>
                <w:tab w:val="left" w:pos="90"/>
              </w:tabs>
              <w:rPr>
                <w:sz w:val="20"/>
                <w:szCs w:val="20"/>
              </w:rPr>
            </w:pPr>
            <w:r w:rsidRPr="007146A3">
              <w:rPr>
                <w:sz w:val="20"/>
                <w:szCs w:val="20"/>
              </w:rPr>
              <w:t>Proposed)</w:t>
            </w:r>
          </w:p>
        </w:tc>
        <w:tc>
          <w:tcPr>
            <w:tcW w:w="1260" w:type="dxa"/>
          </w:tcPr>
          <w:p w:rsidR="00FD2C68" w:rsidRPr="007146A3" w:rsidRDefault="00FD2C68" w:rsidP="007146A3">
            <w:pPr>
              <w:tabs>
                <w:tab w:val="left" w:pos="90"/>
              </w:tabs>
              <w:rPr>
                <w:sz w:val="20"/>
                <w:szCs w:val="20"/>
              </w:rPr>
            </w:pPr>
            <w:r w:rsidRPr="007146A3">
              <w:rPr>
                <w:sz w:val="20"/>
                <w:szCs w:val="20"/>
              </w:rPr>
              <w:t>Lou</w:t>
            </w:r>
            <w:r w:rsidR="004F6504" w:rsidRPr="007146A3">
              <w:rPr>
                <w:sz w:val="20"/>
                <w:szCs w:val="20"/>
              </w:rPr>
              <w:t>i</w:t>
            </w:r>
            <w:r w:rsidRPr="007146A3">
              <w:rPr>
                <w:sz w:val="20"/>
                <w:szCs w:val="20"/>
              </w:rPr>
              <w:t>siana</w:t>
            </w:r>
          </w:p>
        </w:tc>
        <w:tc>
          <w:tcPr>
            <w:tcW w:w="7345" w:type="dxa"/>
          </w:tcPr>
          <w:p w:rsidR="00FD2C68" w:rsidRPr="007146A3" w:rsidRDefault="00FD2C68" w:rsidP="007146A3">
            <w:pPr>
              <w:tabs>
                <w:tab w:val="left" w:pos="90"/>
              </w:tabs>
              <w:rPr>
                <w:sz w:val="20"/>
                <w:szCs w:val="20"/>
              </w:rPr>
            </w:pPr>
            <w:r w:rsidRPr="007146A3">
              <w:rPr>
                <w:sz w:val="20"/>
                <w:szCs w:val="20"/>
              </w:rPr>
              <w:t>Devising an “opportunity to learn”</w:t>
            </w:r>
            <w:r w:rsidR="004F6504" w:rsidRPr="007146A3">
              <w:rPr>
                <w:sz w:val="20"/>
                <w:szCs w:val="20"/>
              </w:rPr>
              <w:t xml:space="preserve"> indicator including idea that “a</w:t>
            </w:r>
            <w:r w:rsidRPr="007146A3">
              <w:rPr>
                <w:sz w:val="20"/>
                <w:szCs w:val="20"/>
              </w:rPr>
              <w:t>ll elementary and middle settings should offer every Louisiana student access to quality visual and performing arts, foreign language instruction, technology consistent with current standards, and a variety of co-curricular activities (academic, athletic, and special interest clubs).</w:t>
            </w:r>
            <w:r w:rsidR="004F6504" w:rsidRPr="007146A3">
              <w:rPr>
                <w:sz w:val="20"/>
                <w:szCs w:val="20"/>
              </w:rPr>
              <w:t>”</w:t>
            </w:r>
          </w:p>
        </w:tc>
      </w:tr>
      <w:tr w:rsidR="00881CD2" w:rsidRPr="007146A3" w:rsidTr="007146A3">
        <w:tc>
          <w:tcPr>
            <w:tcW w:w="1380" w:type="dxa"/>
          </w:tcPr>
          <w:p w:rsidR="00881CD2" w:rsidRPr="007146A3" w:rsidRDefault="00881CD2" w:rsidP="007146A3">
            <w:pPr>
              <w:tabs>
                <w:tab w:val="left" w:pos="90"/>
              </w:tabs>
              <w:rPr>
                <w:sz w:val="20"/>
                <w:szCs w:val="20"/>
              </w:rPr>
            </w:pPr>
            <w:r>
              <w:rPr>
                <w:sz w:val="20"/>
                <w:szCs w:val="20"/>
              </w:rPr>
              <w:t>Accountability</w:t>
            </w:r>
          </w:p>
        </w:tc>
        <w:tc>
          <w:tcPr>
            <w:tcW w:w="1260" w:type="dxa"/>
          </w:tcPr>
          <w:p w:rsidR="00881CD2" w:rsidRPr="007146A3" w:rsidRDefault="00881CD2" w:rsidP="007146A3">
            <w:pPr>
              <w:tabs>
                <w:tab w:val="left" w:pos="90"/>
              </w:tabs>
              <w:rPr>
                <w:sz w:val="20"/>
                <w:szCs w:val="20"/>
              </w:rPr>
            </w:pPr>
            <w:r>
              <w:rPr>
                <w:sz w:val="20"/>
                <w:szCs w:val="20"/>
              </w:rPr>
              <w:t>North Dakota</w:t>
            </w:r>
          </w:p>
        </w:tc>
        <w:tc>
          <w:tcPr>
            <w:tcW w:w="7345" w:type="dxa"/>
          </w:tcPr>
          <w:p w:rsidR="00881CD2" w:rsidRPr="007146A3" w:rsidRDefault="00881CD2" w:rsidP="007146A3">
            <w:pPr>
              <w:tabs>
                <w:tab w:val="left" w:pos="90"/>
              </w:tabs>
              <w:rPr>
                <w:sz w:val="20"/>
                <w:szCs w:val="20"/>
              </w:rPr>
            </w:pPr>
            <w:r>
              <w:rPr>
                <w:sz w:val="20"/>
                <w:szCs w:val="20"/>
              </w:rPr>
              <w:t>Students on the Military Ready and Career Ready Tracks will be able to participate in two extra-curricular to meet one of their graduation goals</w:t>
            </w:r>
          </w:p>
        </w:tc>
      </w:tr>
      <w:tr w:rsidR="00881CD2" w:rsidRPr="007146A3" w:rsidTr="007146A3">
        <w:tc>
          <w:tcPr>
            <w:tcW w:w="1380" w:type="dxa"/>
          </w:tcPr>
          <w:p w:rsidR="00881CD2" w:rsidRDefault="00881CD2" w:rsidP="007146A3">
            <w:pPr>
              <w:tabs>
                <w:tab w:val="left" w:pos="90"/>
              </w:tabs>
              <w:rPr>
                <w:sz w:val="20"/>
                <w:szCs w:val="20"/>
              </w:rPr>
            </w:pPr>
            <w:r>
              <w:rPr>
                <w:sz w:val="20"/>
                <w:szCs w:val="20"/>
              </w:rPr>
              <w:t>Accountability (Future)</w:t>
            </w:r>
          </w:p>
        </w:tc>
        <w:tc>
          <w:tcPr>
            <w:tcW w:w="1260" w:type="dxa"/>
          </w:tcPr>
          <w:p w:rsidR="00881CD2" w:rsidRDefault="00881CD2" w:rsidP="007146A3">
            <w:pPr>
              <w:tabs>
                <w:tab w:val="left" w:pos="90"/>
              </w:tabs>
              <w:rPr>
                <w:sz w:val="20"/>
                <w:szCs w:val="20"/>
              </w:rPr>
            </w:pPr>
            <w:r>
              <w:rPr>
                <w:sz w:val="20"/>
                <w:szCs w:val="20"/>
              </w:rPr>
              <w:t>New Mexico</w:t>
            </w:r>
          </w:p>
        </w:tc>
        <w:tc>
          <w:tcPr>
            <w:tcW w:w="7345" w:type="dxa"/>
          </w:tcPr>
          <w:p w:rsidR="00881CD2" w:rsidRDefault="00881CD2" w:rsidP="00881CD2">
            <w:pPr>
              <w:tabs>
                <w:tab w:val="left" w:pos="90"/>
              </w:tabs>
              <w:rPr>
                <w:sz w:val="20"/>
                <w:szCs w:val="20"/>
              </w:rPr>
            </w:pPr>
            <w:r>
              <w:rPr>
                <w:sz w:val="20"/>
                <w:szCs w:val="20"/>
              </w:rPr>
              <w:t>Developing an Opportunity to learn indicator “</w:t>
            </w:r>
            <w:r w:rsidRPr="00881CD2">
              <w:rPr>
                <w:sz w:val="20"/>
                <w:szCs w:val="20"/>
              </w:rPr>
              <w:t>with stakeholders from inside and outside the PED coming together to select student and family survey instruments that account for school safety, climate, culture, and responsiveness to community needs</w:t>
            </w:r>
            <w:r>
              <w:rPr>
                <w:sz w:val="20"/>
                <w:szCs w:val="20"/>
              </w:rPr>
              <w:t>”</w:t>
            </w:r>
          </w:p>
        </w:tc>
      </w:tr>
      <w:tr w:rsidR="007146A3" w:rsidRPr="007146A3" w:rsidTr="007146A3">
        <w:tc>
          <w:tcPr>
            <w:tcW w:w="1380" w:type="dxa"/>
          </w:tcPr>
          <w:p w:rsidR="00FD2C68" w:rsidRPr="007146A3" w:rsidRDefault="00FD2C68" w:rsidP="007146A3">
            <w:pPr>
              <w:tabs>
                <w:tab w:val="left" w:pos="90"/>
              </w:tabs>
              <w:rPr>
                <w:sz w:val="20"/>
                <w:szCs w:val="20"/>
              </w:rPr>
            </w:pPr>
            <w:r w:rsidRPr="007146A3">
              <w:rPr>
                <w:sz w:val="20"/>
                <w:szCs w:val="20"/>
              </w:rPr>
              <w:t>Report Cards</w:t>
            </w:r>
          </w:p>
        </w:tc>
        <w:tc>
          <w:tcPr>
            <w:tcW w:w="1260" w:type="dxa"/>
          </w:tcPr>
          <w:p w:rsidR="00F0594C" w:rsidRPr="007146A3" w:rsidRDefault="00FD2C68" w:rsidP="007146A3">
            <w:pPr>
              <w:tabs>
                <w:tab w:val="left" w:pos="90"/>
              </w:tabs>
              <w:rPr>
                <w:sz w:val="20"/>
                <w:szCs w:val="20"/>
              </w:rPr>
            </w:pPr>
            <w:r w:rsidRPr="007146A3">
              <w:rPr>
                <w:sz w:val="20"/>
                <w:szCs w:val="20"/>
              </w:rPr>
              <w:t>Tennessee</w:t>
            </w:r>
          </w:p>
        </w:tc>
        <w:tc>
          <w:tcPr>
            <w:tcW w:w="7345" w:type="dxa"/>
          </w:tcPr>
          <w:p w:rsidR="00F0594C" w:rsidRPr="007146A3" w:rsidRDefault="00FD2C68" w:rsidP="007146A3">
            <w:pPr>
              <w:tabs>
                <w:tab w:val="left" w:pos="90"/>
              </w:tabs>
              <w:rPr>
                <w:sz w:val="20"/>
                <w:szCs w:val="20"/>
              </w:rPr>
            </w:pPr>
            <w:r w:rsidRPr="007146A3">
              <w:rPr>
                <w:sz w:val="20"/>
                <w:szCs w:val="20"/>
              </w:rPr>
              <w:t>The TN report card will show the percent of students participating in at least one extra-curricular</w:t>
            </w:r>
          </w:p>
        </w:tc>
      </w:tr>
      <w:tr w:rsidR="006C7C08" w:rsidRPr="007146A3" w:rsidTr="007146A3">
        <w:tc>
          <w:tcPr>
            <w:tcW w:w="1380" w:type="dxa"/>
          </w:tcPr>
          <w:p w:rsidR="006C7C08" w:rsidRPr="007146A3" w:rsidRDefault="006C7C08" w:rsidP="007146A3">
            <w:pPr>
              <w:tabs>
                <w:tab w:val="left" w:pos="90"/>
              </w:tabs>
              <w:rPr>
                <w:sz w:val="20"/>
                <w:szCs w:val="20"/>
              </w:rPr>
            </w:pPr>
            <w:r>
              <w:rPr>
                <w:sz w:val="20"/>
                <w:szCs w:val="20"/>
              </w:rPr>
              <w:t>Report Cards (future)</w:t>
            </w:r>
          </w:p>
        </w:tc>
        <w:tc>
          <w:tcPr>
            <w:tcW w:w="1260" w:type="dxa"/>
          </w:tcPr>
          <w:p w:rsidR="006C7C08" w:rsidRPr="007146A3" w:rsidRDefault="006C7C08" w:rsidP="007146A3">
            <w:pPr>
              <w:tabs>
                <w:tab w:val="left" w:pos="90"/>
              </w:tabs>
              <w:rPr>
                <w:sz w:val="20"/>
                <w:szCs w:val="20"/>
              </w:rPr>
            </w:pPr>
            <w:r>
              <w:rPr>
                <w:sz w:val="20"/>
                <w:szCs w:val="20"/>
              </w:rPr>
              <w:t>Oregon</w:t>
            </w:r>
          </w:p>
        </w:tc>
        <w:tc>
          <w:tcPr>
            <w:tcW w:w="7345" w:type="dxa"/>
          </w:tcPr>
          <w:p w:rsidR="006C7C08" w:rsidRPr="007146A3" w:rsidRDefault="006C7C08" w:rsidP="007146A3">
            <w:pPr>
              <w:tabs>
                <w:tab w:val="left" w:pos="90"/>
              </w:tabs>
              <w:rPr>
                <w:sz w:val="20"/>
                <w:szCs w:val="20"/>
              </w:rPr>
            </w:pPr>
            <w:r w:rsidRPr="006C7C08">
              <w:rPr>
                <w:sz w:val="20"/>
                <w:szCs w:val="20"/>
              </w:rPr>
              <w:t>Additionally, other qualitative data such as access to a full curriculum extended learning opportunities (e.g. after school, summer school, and community-based learning) may also be added in 2018-19 for reporting purposes.</w:t>
            </w:r>
          </w:p>
        </w:tc>
      </w:tr>
      <w:tr w:rsidR="007146A3" w:rsidRPr="007146A3" w:rsidTr="007146A3">
        <w:tc>
          <w:tcPr>
            <w:tcW w:w="1380" w:type="dxa"/>
          </w:tcPr>
          <w:p w:rsidR="00F0594C" w:rsidRPr="007146A3" w:rsidRDefault="004F6504" w:rsidP="007146A3">
            <w:pPr>
              <w:tabs>
                <w:tab w:val="left" w:pos="90"/>
              </w:tabs>
              <w:rPr>
                <w:sz w:val="20"/>
                <w:szCs w:val="20"/>
              </w:rPr>
            </w:pPr>
            <w:r w:rsidRPr="007146A3">
              <w:rPr>
                <w:sz w:val="20"/>
                <w:szCs w:val="20"/>
              </w:rPr>
              <w:t>21</w:t>
            </w:r>
            <w:r w:rsidRPr="007146A3">
              <w:rPr>
                <w:sz w:val="20"/>
                <w:szCs w:val="20"/>
                <w:vertAlign w:val="superscript"/>
              </w:rPr>
              <w:t>st</w:t>
            </w:r>
            <w:r w:rsidRPr="007146A3">
              <w:rPr>
                <w:sz w:val="20"/>
                <w:szCs w:val="20"/>
              </w:rPr>
              <w:t xml:space="preserve"> CCLC</w:t>
            </w:r>
          </w:p>
        </w:tc>
        <w:tc>
          <w:tcPr>
            <w:tcW w:w="1260" w:type="dxa"/>
          </w:tcPr>
          <w:p w:rsidR="00F0594C" w:rsidRPr="007146A3" w:rsidRDefault="004F6504" w:rsidP="007146A3">
            <w:pPr>
              <w:tabs>
                <w:tab w:val="left" w:pos="90"/>
              </w:tabs>
              <w:rPr>
                <w:sz w:val="20"/>
                <w:szCs w:val="20"/>
              </w:rPr>
            </w:pPr>
            <w:r w:rsidRPr="007146A3">
              <w:rPr>
                <w:sz w:val="20"/>
                <w:szCs w:val="20"/>
              </w:rPr>
              <w:t>Illinois</w:t>
            </w:r>
          </w:p>
        </w:tc>
        <w:tc>
          <w:tcPr>
            <w:tcW w:w="7345" w:type="dxa"/>
          </w:tcPr>
          <w:p w:rsidR="00F0594C" w:rsidRPr="007146A3" w:rsidRDefault="004F6504" w:rsidP="007146A3">
            <w:pPr>
              <w:tabs>
                <w:tab w:val="left" w:pos="90"/>
              </w:tabs>
              <w:rPr>
                <w:sz w:val="20"/>
                <w:szCs w:val="20"/>
              </w:rPr>
            </w:pPr>
            <w:r w:rsidRPr="007146A3">
              <w:rPr>
                <w:sz w:val="20"/>
                <w:szCs w:val="20"/>
              </w:rPr>
              <w:t>Includes section on full use of 5% quality set aside and 2% administrative funds and speaks to network’s role: “Title IV(b) funding will be leveraged with other federal funds to increase the state’s ability to address performance gaps in learning and healthy development for the most vulnerable children; meaningfully engage families as critical partners; connect community systems with schools and districts in sustainable ways; and, in partnership with the afterschool statewide network, ensure implementation of high quality out of school time programming throughout the state that leads to increased student achievement.”</w:t>
            </w:r>
          </w:p>
        </w:tc>
      </w:tr>
      <w:tr w:rsidR="004F6504" w:rsidRPr="007146A3" w:rsidTr="007146A3">
        <w:tc>
          <w:tcPr>
            <w:tcW w:w="1380" w:type="dxa"/>
          </w:tcPr>
          <w:p w:rsidR="004F6504" w:rsidRPr="007146A3" w:rsidRDefault="004F6504" w:rsidP="007146A3">
            <w:pPr>
              <w:tabs>
                <w:tab w:val="left" w:pos="90"/>
              </w:tabs>
              <w:rPr>
                <w:sz w:val="20"/>
                <w:szCs w:val="20"/>
              </w:rPr>
            </w:pPr>
            <w:r w:rsidRPr="007146A3">
              <w:rPr>
                <w:sz w:val="20"/>
                <w:szCs w:val="20"/>
              </w:rPr>
              <w:t>21</w:t>
            </w:r>
            <w:r w:rsidRPr="007146A3">
              <w:rPr>
                <w:sz w:val="20"/>
                <w:szCs w:val="20"/>
                <w:vertAlign w:val="superscript"/>
              </w:rPr>
              <w:t>st</w:t>
            </w:r>
            <w:r w:rsidRPr="007146A3">
              <w:rPr>
                <w:sz w:val="20"/>
                <w:szCs w:val="20"/>
              </w:rPr>
              <w:t xml:space="preserve"> CCLC</w:t>
            </w:r>
          </w:p>
        </w:tc>
        <w:tc>
          <w:tcPr>
            <w:tcW w:w="1260" w:type="dxa"/>
          </w:tcPr>
          <w:p w:rsidR="004F6504" w:rsidRPr="007146A3" w:rsidRDefault="004F6504" w:rsidP="007146A3">
            <w:pPr>
              <w:tabs>
                <w:tab w:val="left" w:pos="90"/>
              </w:tabs>
              <w:rPr>
                <w:sz w:val="20"/>
                <w:szCs w:val="20"/>
              </w:rPr>
            </w:pPr>
            <w:r w:rsidRPr="007146A3">
              <w:rPr>
                <w:sz w:val="20"/>
                <w:szCs w:val="20"/>
              </w:rPr>
              <w:t>North Carolina</w:t>
            </w:r>
          </w:p>
        </w:tc>
        <w:tc>
          <w:tcPr>
            <w:tcW w:w="7345" w:type="dxa"/>
          </w:tcPr>
          <w:p w:rsidR="004F6504" w:rsidRPr="007146A3" w:rsidRDefault="004F6504" w:rsidP="007146A3">
            <w:pPr>
              <w:tabs>
                <w:tab w:val="left" w:pos="90"/>
              </w:tabs>
              <w:rPr>
                <w:sz w:val="20"/>
                <w:szCs w:val="20"/>
              </w:rPr>
            </w:pPr>
            <w:r w:rsidRPr="007146A3">
              <w:rPr>
                <w:sz w:val="20"/>
                <w:szCs w:val="20"/>
              </w:rPr>
              <w:t>Large section on 21</w:t>
            </w:r>
            <w:r w:rsidRPr="007146A3">
              <w:rPr>
                <w:sz w:val="20"/>
                <w:szCs w:val="20"/>
                <w:vertAlign w:val="superscript"/>
              </w:rPr>
              <w:t>st</w:t>
            </w:r>
            <w:r w:rsidRPr="007146A3">
              <w:rPr>
                <w:sz w:val="20"/>
                <w:szCs w:val="20"/>
              </w:rPr>
              <w:t xml:space="preserve"> CCLC- includes funding formula, uses of admin/TA funds, description of planning and grants management tool. The Planning Tool contains the Needs Assessment and program Goals along with supporting strategies and activities; discusses priorities including geographic diversity and summer programming</w:t>
            </w:r>
          </w:p>
        </w:tc>
      </w:tr>
      <w:tr w:rsidR="004F6504" w:rsidRPr="007146A3" w:rsidTr="007146A3">
        <w:tc>
          <w:tcPr>
            <w:tcW w:w="1380" w:type="dxa"/>
          </w:tcPr>
          <w:p w:rsidR="004F6504" w:rsidRPr="007146A3" w:rsidRDefault="004F6504" w:rsidP="007146A3">
            <w:pPr>
              <w:tabs>
                <w:tab w:val="left" w:pos="90"/>
              </w:tabs>
              <w:rPr>
                <w:sz w:val="20"/>
                <w:szCs w:val="20"/>
              </w:rPr>
            </w:pPr>
            <w:r w:rsidRPr="007146A3">
              <w:rPr>
                <w:sz w:val="20"/>
                <w:szCs w:val="20"/>
              </w:rPr>
              <w:t>21</w:t>
            </w:r>
            <w:r w:rsidRPr="007146A3">
              <w:rPr>
                <w:sz w:val="20"/>
                <w:szCs w:val="20"/>
                <w:vertAlign w:val="superscript"/>
              </w:rPr>
              <w:t>st</w:t>
            </w:r>
            <w:r w:rsidRPr="007146A3">
              <w:rPr>
                <w:sz w:val="20"/>
                <w:szCs w:val="20"/>
              </w:rPr>
              <w:t xml:space="preserve"> CCLC </w:t>
            </w:r>
          </w:p>
        </w:tc>
        <w:tc>
          <w:tcPr>
            <w:tcW w:w="1260" w:type="dxa"/>
          </w:tcPr>
          <w:p w:rsidR="004F6504" w:rsidRPr="007146A3" w:rsidRDefault="004F6504" w:rsidP="007146A3">
            <w:pPr>
              <w:tabs>
                <w:tab w:val="left" w:pos="90"/>
              </w:tabs>
              <w:rPr>
                <w:sz w:val="20"/>
                <w:szCs w:val="20"/>
              </w:rPr>
            </w:pPr>
            <w:r w:rsidRPr="007146A3">
              <w:rPr>
                <w:sz w:val="20"/>
                <w:szCs w:val="20"/>
              </w:rPr>
              <w:t>New Jersey</w:t>
            </w:r>
          </w:p>
        </w:tc>
        <w:tc>
          <w:tcPr>
            <w:tcW w:w="7345" w:type="dxa"/>
          </w:tcPr>
          <w:p w:rsidR="004F6504" w:rsidRPr="007146A3" w:rsidRDefault="004F6504" w:rsidP="007146A3">
            <w:pPr>
              <w:tabs>
                <w:tab w:val="left" w:pos="90"/>
              </w:tabs>
              <w:rPr>
                <w:sz w:val="20"/>
                <w:szCs w:val="20"/>
              </w:rPr>
            </w:pPr>
            <w:r w:rsidRPr="007146A3">
              <w:rPr>
                <w:sz w:val="20"/>
                <w:szCs w:val="20"/>
              </w:rPr>
              <w:t>Large focus on external org piece in feedback chart at end of doc; NJDOE requires 21</w:t>
            </w:r>
            <w:r w:rsidRPr="006C7C08">
              <w:rPr>
                <w:sz w:val="20"/>
                <w:szCs w:val="20"/>
                <w:vertAlign w:val="superscript"/>
              </w:rPr>
              <w:t>st</w:t>
            </w:r>
            <w:r w:rsidRPr="007146A3">
              <w:rPr>
                <w:sz w:val="20"/>
                <w:szCs w:val="20"/>
              </w:rPr>
              <w:t xml:space="preserve"> Century Community Learning Centers grantees to focus on one of the following themes: </w:t>
            </w:r>
            <w:r w:rsidRPr="007146A3">
              <w:rPr>
                <w:sz w:val="20"/>
                <w:szCs w:val="20"/>
              </w:rPr>
              <w:t xml:space="preserve"> STEM; </w:t>
            </w:r>
            <w:r w:rsidRPr="007146A3">
              <w:rPr>
                <w:sz w:val="20"/>
                <w:szCs w:val="20"/>
              </w:rPr>
              <w:t xml:space="preserve"> Civic engagement; </w:t>
            </w:r>
            <w:r w:rsidRPr="007146A3">
              <w:rPr>
                <w:sz w:val="20"/>
                <w:szCs w:val="20"/>
              </w:rPr>
              <w:t> Career awareness and explorat</w:t>
            </w:r>
            <w:r w:rsidR="007146A3" w:rsidRPr="007146A3">
              <w:rPr>
                <w:sz w:val="20"/>
                <w:szCs w:val="20"/>
              </w:rPr>
              <w:t xml:space="preserve">ion; or </w:t>
            </w:r>
            <w:r w:rsidR="007146A3" w:rsidRPr="007146A3">
              <w:rPr>
                <w:sz w:val="20"/>
                <w:szCs w:val="20"/>
              </w:rPr>
              <w:t> Visual and performing</w:t>
            </w:r>
            <w:r w:rsidRPr="007146A3">
              <w:rPr>
                <w:sz w:val="20"/>
                <w:szCs w:val="20"/>
              </w:rPr>
              <w:t>; required to provide both after- school and summer programs from September 1 through August 31; NJDOE has decided to pilot an expanded learning opportunity sub-grant for up to three years.</w:t>
            </w:r>
          </w:p>
        </w:tc>
      </w:tr>
      <w:tr w:rsidR="007146A3" w:rsidRPr="007146A3" w:rsidTr="007146A3">
        <w:tc>
          <w:tcPr>
            <w:tcW w:w="1380" w:type="dxa"/>
          </w:tcPr>
          <w:p w:rsidR="007146A3" w:rsidRPr="007146A3" w:rsidRDefault="007146A3" w:rsidP="007146A3">
            <w:pPr>
              <w:tabs>
                <w:tab w:val="left" w:pos="90"/>
              </w:tabs>
              <w:rPr>
                <w:sz w:val="20"/>
                <w:szCs w:val="20"/>
              </w:rPr>
            </w:pPr>
            <w:r w:rsidRPr="007146A3">
              <w:rPr>
                <w:sz w:val="20"/>
                <w:szCs w:val="20"/>
              </w:rPr>
              <w:t>21</w:t>
            </w:r>
            <w:r w:rsidRPr="007146A3">
              <w:rPr>
                <w:sz w:val="20"/>
                <w:szCs w:val="20"/>
                <w:vertAlign w:val="superscript"/>
              </w:rPr>
              <w:t>st</w:t>
            </w:r>
            <w:r w:rsidRPr="007146A3">
              <w:rPr>
                <w:sz w:val="20"/>
                <w:szCs w:val="20"/>
              </w:rPr>
              <w:t xml:space="preserve"> CCLC </w:t>
            </w:r>
          </w:p>
        </w:tc>
        <w:tc>
          <w:tcPr>
            <w:tcW w:w="1260" w:type="dxa"/>
          </w:tcPr>
          <w:p w:rsidR="007146A3" w:rsidRPr="007146A3" w:rsidRDefault="007146A3" w:rsidP="007146A3">
            <w:pPr>
              <w:tabs>
                <w:tab w:val="left" w:pos="90"/>
              </w:tabs>
              <w:rPr>
                <w:sz w:val="20"/>
                <w:szCs w:val="20"/>
              </w:rPr>
            </w:pPr>
            <w:r w:rsidRPr="007146A3">
              <w:rPr>
                <w:sz w:val="20"/>
                <w:szCs w:val="20"/>
              </w:rPr>
              <w:t>New Mexico</w:t>
            </w:r>
          </w:p>
        </w:tc>
        <w:tc>
          <w:tcPr>
            <w:tcW w:w="7345" w:type="dxa"/>
          </w:tcPr>
          <w:p w:rsidR="007146A3" w:rsidRPr="007146A3" w:rsidRDefault="007146A3" w:rsidP="007146A3">
            <w:pPr>
              <w:tabs>
                <w:tab w:val="left" w:pos="90"/>
              </w:tabs>
              <w:rPr>
                <w:sz w:val="20"/>
                <w:szCs w:val="20"/>
              </w:rPr>
            </w:pPr>
            <w:r w:rsidRPr="007146A3">
              <w:rPr>
                <w:sz w:val="20"/>
                <w:szCs w:val="20"/>
              </w:rPr>
              <w:t>Coordinates across other sections in the plan including student support and enrichment grants (Title IVA) and focuses attention on special populations – Special education; homeless; Native American student; English language learner; and low academic performers; focuses on school transitions</w:t>
            </w:r>
          </w:p>
        </w:tc>
      </w:tr>
      <w:tr w:rsidR="006C7C08" w:rsidRPr="007146A3" w:rsidTr="007146A3">
        <w:tc>
          <w:tcPr>
            <w:tcW w:w="1380" w:type="dxa"/>
          </w:tcPr>
          <w:p w:rsidR="006C7C08" w:rsidRPr="007146A3" w:rsidRDefault="006C7C08" w:rsidP="007146A3">
            <w:pPr>
              <w:tabs>
                <w:tab w:val="left" w:pos="90"/>
              </w:tabs>
              <w:rPr>
                <w:sz w:val="20"/>
                <w:szCs w:val="20"/>
              </w:rPr>
            </w:pPr>
            <w:r>
              <w:rPr>
                <w:sz w:val="20"/>
                <w:szCs w:val="20"/>
              </w:rPr>
              <w:t>21</w:t>
            </w:r>
            <w:r w:rsidRPr="006C7C08">
              <w:rPr>
                <w:sz w:val="20"/>
                <w:szCs w:val="20"/>
                <w:vertAlign w:val="superscript"/>
              </w:rPr>
              <w:t>st</w:t>
            </w:r>
            <w:r>
              <w:rPr>
                <w:sz w:val="20"/>
                <w:szCs w:val="20"/>
              </w:rPr>
              <w:t xml:space="preserve"> CCLC </w:t>
            </w:r>
          </w:p>
        </w:tc>
        <w:tc>
          <w:tcPr>
            <w:tcW w:w="1260" w:type="dxa"/>
          </w:tcPr>
          <w:p w:rsidR="006C7C08" w:rsidRPr="007146A3" w:rsidRDefault="006C7C08" w:rsidP="007146A3">
            <w:pPr>
              <w:tabs>
                <w:tab w:val="left" w:pos="90"/>
              </w:tabs>
              <w:rPr>
                <w:sz w:val="20"/>
                <w:szCs w:val="20"/>
              </w:rPr>
            </w:pPr>
            <w:r>
              <w:rPr>
                <w:sz w:val="20"/>
                <w:szCs w:val="20"/>
              </w:rPr>
              <w:t>Maine</w:t>
            </w:r>
          </w:p>
        </w:tc>
        <w:tc>
          <w:tcPr>
            <w:tcW w:w="7345" w:type="dxa"/>
          </w:tcPr>
          <w:p w:rsidR="006C7C08" w:rsidRPr="007146A3" w:rsidRDefault="006C7C08" w:rsidP="006C7C08">
            <w:pPr>
              <w:tabs>
                <w:tab w:val="left" w:pos="90"/>
              </w:tabs>
              <w:rPr>
                <w:sz w:val="20"/>
                <w:szCs w:val="20"/>
              </w:rPr>
            </w:pPr>
            <w:r w:rsidRPr="006C7C08">
              <w:rPr>
                <w:sz w:val="20"/>
                <w:szCs w:val="20"/>
              </w:rPr>
              <w:t>"The 21st CCLC program itself provides many schools within in the state with an alternative learning environment for students beyond that of their traditional school day. These additional resources truly allow for Multiple Pathways for Learner Achievement, as students are often able to gain school-day credit for the learning that takes place in the these extended-learning environments...In addition to the 21st CCLC program’s academic focus, there is an equal emphasis on coordinated and Comprehensive</w:t>
            </w:r>
            <w:r>
              <w:rPr>
                <w:sz w:val="20"/>
                <w:szCs w:val="20"/>
              </w:rPr>
              <w:t xml:space="preserve"> School and Community Support" </w:t>
            </w:r>
            <w:r w:rsidRPr="006C7C08">
              <w:rPr>
                <w:sz w:val="20"/>
                <w:szCs w:val="20"/>
              </w:rPr>
              <w:t xml:space="preserve">Look at ME guiding principles (p.60) to see how OST supports these CCR skills; pg 115 school climate survey tool </w:t>
            </w:r>
          </w:p>
        </w:tc>
      </w:tr>
      <w:tr w:rsidR="007146A3" w:rsidRPr="007146A3" w:rsidTr="007146A3">
        <w:tc>
          <w:tcPr>
            <w:tcW w:w="1380" w:type="dxa"/>
          </w:tcPr>
          <w:p w:rsidR="007146A3" w:rsidRPr="007146A3" w:rsidRDefault="007146A3" w:rsidP="007146A3">
            <w:pPr>
              <w:tabs>
                <w:tab w:val="left" w:pos="90"/>
              </w:tabs>
              <w:rPr>
                <w:sz w:val="20"/>
                <w:szCs w:val="20"/>
              </w:rPr>
            </w:pPr>
            <w:r w:rsidRPr="007146A3">
              <w:rPr>
                <w:sz w:val="20"/>
                <w:szCs w:val="20"/>
              </w:rPr>
              <w:t>Well-Rounded Curriculum</w:t>
            </w:r>
          </w:p>
        </w:tc>
        <w:tc>
          <w:tcPr>
            <w:tcW w:w="1260" w:type="dxa"/>
          </w:tcPr>
          <w:p w:rsidR="007146A3" w:rsidRPr="007146A3" w:rsidRDefault="007146A3" w:rsidP="007146A3">
            <w:pPr>
              <w:tabs>
                <w:tab w:val="left" w:pos="90"/>
              </w:tabs>
              <w:rPr>
                <w:sz w:val="20"/>
                <w:szCs w:val="20"/>
              </w:rPr>
            </w:pPr>
            <w:r w:rsidRPr="007146A3">
              <w:rPr>
                <w:sz w:val="20"/>
                <w:szCs w:val="20"/>
              </w:rPr>
              <w:t>Delaware</w:t>
            </w:r>
          </w:p>
        </w:tc>
        <w:tc>
          <w:tcPr>
            <w:tcW w:w="7345" w:type="dxa"/>
          </w:tcPr>
          <w:p w:rsidR="007146A3" w:rsidRPr="007146A3" w:rsidRDefault="007146A3" w:rsidP="007146A3">
            <w:pPr>
              <w:tabs>
                <w:tab w:val="left" w:pos="90"/>
              </w:tabs>
              <w:rPr>
                <w:sz w:val="20"/>
                <w:szCs w:val="20"/>
              </w:rPr>
            </w:pPr>
            <w:r w:rsidRPr="007146A3">
              <w:rPr>
                <w:sz w:val="20"/>
                <w:szCs w:val="20"/>
              </w:rPr>
              <w:t>plan reports that stakeholder feedback from the Student and School Supports Discussion Group identified several strategies to assist students’ access to a well-rounded curriculum including Access to healthy meals beyond the school day and Technical assistance to LEAs for providing robust, whole school, extended day programs/clubs; includes summer transition academies as a strategy</w:t>
            </w:r>
          </w:p>
        </w:tc>
      </w:tr>
      <w:tr w:rsidR="007146A3" w:rsidRPr="007146A3" w:rsidTr="007146A3">
        <w:tc>
          <w:tcPr>
            <w:tcW w:w="1380" w:type="dxa"/>
          </w:tcPr>
          <w:p w:rsidR="007146A3" w:rsidRPr="007146A3" w:rsidRDefault="007146A3" w:rsidP="007146A3">
            <w:pPr>
              <w:tabs>
                <w:tab w:val="left" w:pos="90"/>
              </w:tabs>
              <w:rPr>
                <w:sz w:val="20"/>
                <w:szCs w:val="20"/>
              </w:rPr>
            </w:pPr>
            <w:r w:rsidRPr="007146A3">
              <w:rPr>
                <w:sz w:val="20"/>
                <w:szCs w:val="20"/>
              </w:rPr>
              <w:t>Well-Rounded Curriculum</w:t>
            </w:r>
          </w:p>
        </w:tc>
        <w:tc>
          <w:tcPr>
            <w:tcW w:w="1260" w:type="dxa"/>
          </w:tcPr>
          <w:p w:rsidR="007146A3" w:rsidRPr="007146A3" w:rsidRDefault="007146A3" w:rsidP="007146A3">
            <w:pPr>
              <w:tabs>
                <w:tab w:val="left" w:pos="90"/>
              </w:tabs>
              <w:rPr>
                <w:sz w:val="20"/>
                <w:szCs w:val="20"/>
              </w:rPr>
            </w:pPr>
            <w:r w:rsidRPr="007146A3">
              <w:rPr>
                <w:sz w:val="20"/>
                <w:szCs w:val="20"/>
              </w:rPr>
              <w:t>Illinois</w:t>
            </w:r>
          </w:p>
        </w:tc>
        <w:tc>
          <w:tcPr>
            <w:tcW w:w="7345" w:type="dxa"/>
          </w:tcPr>
          <w:p w:rsidR="007146A3" w:rsidRPr="007146A3" w:rsidRDefault="007146A3" w:rsidP="007146A3">
            <w:pPr>
              <w:tabs>
                <w:tab w:val="left" w:pos="90"/>
              </w:tabs>
              <w:rPr>
                <w:sz w:val="20"/>
                <w:szCs w:val="20"/>
              </w:rPr>
            </w:pPr>
            <w:r w:rsidRPr="007146A3">
              <w:rPr>
                <w:sz w:val="20"/>
                <w:szCs w:val="20"/>
              </w:rPr>
              <w:t>ISBE recognizes that after‐school programming oftentimes is the first entry point for family and community engagement in the school building. The professional development and technical assistance plan for 21st Century Community Learning Center grantees includes an annual comprehensive menu of supports for family and community engagement that includes webinars, regional workshops, newsletters, resource bulletins, a website, and two biannual conferences. In addition, ISBE works closely with an Illinois after‐school statewide network, the ACT Now Coalition, which recently published quality standards for Illinois after‐school program providers. Almost 50 percent of the providers are LEAs and schools. This is significant, given that this leverages the ability to better coordinate resources, staff, and funding to strengthen engagement efforts. There are dedicated standards for family and community engagement as well as for school partnerships. ISBE will work with the network in providing professional development and a community of practice to strengthen local connection and capacity for meaningful engagement that is linked to learning and healthy development outcomes for students.</w:t>
            </w:r>
          </w:p>
        </w:tc>
      </w:tr>
      <w:tr w:rsidR="006C7C08" w:rsidRPr="003513A1" w:rsidTr="007146A3">
        <w:tc>
          <w:tcPr>
            <w:tcW w:w="1380" w:type="dxa"/>
          </w:tcPr>
          <w:p w:rsidR="006C7C08" w:rsidRPr="003513A1" w:rsidRDefault="006C7C08" w:rsidP="007146A3">
            <w:pPr>
              <w:tabs>
                <w:tab w:val="left" w:pos="90"/>
              </w:tabs>
              <w:rPr>
                <w:sz w:val="20"/>
                <w:szCs w:val="20"/>
              </w:rPr>
            </w:pPr>
            <w:r w:rsidRPr="003513A1">
              <w:rPr>
                <w:sz w:val="20"/>
                <w:szCs w:val="20"/>
              </w:rPr>
              <w:t>Well-rounded curriculum</w:t>
            </w:r>
          </w:p>
        </w:tc>
        <w:tc>
          <w:tcPr>
            <w:tcW w:w="1260" w:type="dxa"/>
          </w:tcPr>
          <w:p w:rsidR="006C7C08" w:rsidRPr="003513A1" w:rsidRDefault="006C7C08" w:rsidP="007146A3">
            <w:pPr>
              <w:tabs>
                <w:tab w:val="left" w:pos="90"/>
              </w:tabs>
              <w:rPr>
                <w:sz w:val="20"/>
                <w:szCs w:val="20"/>
              </w:rPr>
            </w:pPr>
            <w:r w:rsidRPr="003513A1">
              <w:rPr>
                <w:sz w:val="20"/>
                <w:szCs w:val="20"/>
              </w:rPr>
              <w:t>New Mexico</w:t>
            </w:r>
          </w:p>
        </w:tc>
        <w:tc>
          <w:tcPr>
            <w:tcW w:w="7345" w:type="dxa"/>
          </w:tcPr>
          <w:p w:rsidR="006C7C08" w:rsidRPr="003513A1" w:rsidRDefault="006C7C08" w:rsidP="007146A3">
            <w:pPr>
              <w:tabs>
                <w:tab w:val="left" w:pos="90"/>
              </w:tabs>
              <w:rPr>
                <w:sz w:val="20"/>
                <w:szCs w:val="20"/>
              </w:rPr>
            </w:pPr>
            <w:r w:rsidRPr="003513A1">
              <w:rPr>
                <w:sz w:val="20"/>
                <w:szCs w:val="20"/>
              </w:rPr>
              <w:t>The stakeholder group felt that wrap-around family support services are needed in order for students at risk, including students with disabilities, students living in poverty and those students with social justice barriers to be successful. “PED will provide federal and state funding for robust out of school time programs"</w:t>
            </w:r>
          </w:p>
        </w:tc>
      </w:tr>
    </w:tbl>
    <w:p w:rsidR="00F0594C" w:rsidRPr="003513A1" w:rsidRDefault="00F0594C" w:rsidP="00F0594C">
      <w:pPr>
        <w:rPr>
          <w:b/>
          <w:sz w:val="20"/>
          <w:szCs w:val="20"/>
        </w:rPr>
      </w:pPr>
    </w:p>
    <w:p w:rsidR="003513A1" w:rsidRPr="003513A1" w:rsidRDefault="003513A1" w:rsidP="00F0594C">
      <w:pPr>
        <w:rPr>
          <w:b/>
          <w:sz w:val="20"/>
          <w:szCs w:val="20"/>
        </w:rPr>
      </w:pPr>
    </w:p>
    <w:p w:rsidR="003513A1" w:rsidRPr="003513A1" w:rsidRDefault="003513A1" w:rsidP="00F0594C">
      <w:pPr>
        <w:rPr>
          <w:b/>
          <w:sz w:val="20"/>
          <w:szCs w:val="20"/>
        </w:rPr>
      </w:pPr>
    </w:p>
    <w:p w:rsidR="003513A1" w:rsidRPr="003513A1" w:rsidRDefault="003513A1" w:rsidP="00F0594C">
      <w:pPr>
        <w:rPr>
          <w:b/>
          <w:sz w:val="20"/>
          <w:szCs w:val="20"/>
        </w:rPr>
      </w:pPr>
    </w:p>
    <w:p w:rsidR="003513A1" w:rsidRPr="003513A1" w:rsidRDefault="003513A1" w:rsidP="00F0594C">
      <w:pPr>
        <w:rPr>
          <w:b/>
          <w:sz w:val="20"/>
          <w:szCs w:val="20"/>
        </w:rPr>
      </w:pPr>
    </w:p>
    <w:p w:rsidR="003513A1" w:rsidRPr="003513A1" w:rsidRDefault="003513A1" w:rsidP="00F0594C">
      <w:pPr>
        <w:rPr>
          <w:b/>
          <w:sz w:val="20"/>
          <w:szCs w:val="20"/>
        </w:rPr>
      </w:pPr>
    </w:p>
    <w:p w:rsidR="003513A1" w:rsidRPr="003513A1" w:rsidRDefault="003513A1" w:rsidP="00F0594C">
      <w:pPr>
        <w:rPr>
          <w:b/>
          <w:sz w:val="20"/>
          <w:szCs w:val="20"/>
        </w:rPr>
      </w:pPr>
    </w:p>
    <w:p w:rsidR="003513A1" w:rsidRPr="003513A1" w:rsidRDefault="003513A1" w:rsidP="00F0594C">
      <w:pPr>
        <w:rPr>
          <w:b/>
          <w:sz w:val="20"/>
          <w:szCs w:val="20"/>
        </w:rPr>
      </w:pPr>
    </w:p>
    <w:p w:rsidR="003513A1" w:rsidRPr="003513A1" w:rsidRDefault="003513A1" w:rsidP="00F0594C">
      <w:pPr>
        <w:rPr>
          <w:b/>
          <w:sz w:val="20"/>
          <w:szCs w:val="20"/>
        </w:rPr>
      </w:pPr>
    </w:p>
    <w:p w:rsidR="003513A1" w:rsidRPr="003513A1" w:rsidRDefault="003513A1" w:rsidP="00F0594C">
      <w:pPr>
        <w:rPr>
          <w:b/>
          <w:sz w:val="20"/>
          <w:szCs w:val="20"/>
        </w:rPr>
      </w:pPr>
    </w:p>
    <w:p w:rsidR="0038129A" w:rsidRPr="003513A1" w:rsidRDefault="0038129A" w:rsidP="00F0594C">
      <w:pPr>
        <w:rPr>
          <w:b/>
          <w:sz w:val="20"/>
          <w:szCs w:val="20"/>
        </w:rPr>
      </w:pPr>
      <w:r w:rsidRPr="003513A1">
        <w:rPr>
          <w:b/>
          <w:sz w:val="20"/>
          <w:szCs w:val="20"/>
        </w:rPr>
        <w:t>Plans in Progress:</w:t>
      </w:r>
    </w:p>
    <w:tbl>
      <w:tblPr>
        <w:tblStyle w:val="TableGrid"/>
        <w:tblW w:w="0" w:type="auto"/>
        <w:tblLook w:val="04A0" w:firstRow="1" w:lastRow="0" w:firstColumn="1" w:lastColumn="0" w:noHBand="0" w:noVBand="1"/>
      </w:tblPr>
      <w:tblGrid>
        <w:gridCol w:w="1556"/>
        <w:gridCol w:w="1196"/>
        <w:gridCol w:w="7498"/>
      </w:tblGrid>
      <w:tr w:rsidR="0038129A" w:rsidRPr="003513A1" w:rsidTr="001C37F6">
        <w:tc>
          <w:tcPr>
            <w:tcW w:w="1435" w:type="dxa"/>
          </w:tcPr>
          <w:p w:rsidR="0038129A" w:rsidRPr="003513A1" w:rsidRDefault="001C37F6" w:rsidP="00F0594C">
            <w:pPr>
              <w:rPr>
                <w:sz w:val="20"/>
                <w:szCs w:val="20"/>
              </w:rPr>
            </w:pPr>
            <w:r w:rsidRPr="003513A1">
              <w:rPr>
                <w:sz w:val="20"/>
                <w:szCs w:val="20"/>
              </w:rPr>
              <w:t>Interventions</w:t>
            </w:r>
          </w:p>
        </w:tc>
        <w:tc>
          <w:tcPr>
            <w:tcW w:w="1170" w:type="dxa"/>
          </w:tcPr>
          <w:p w:rsidR="0038129A" w:rsidRPr="003513A1" w:rsidRDefault="001C37F6" w:rsidP="00F0594C">
            <w:pPr>
              <w:rPr>
                <w:sz w:val="20"/>
                <w:szCs w:val="20"/>
              </w:rPr>
            </w:pPr>
            <w:r w:rsidRPr="003513A1">
              <w:rPr>
                <w:sz w:val="20"/>
                <w:szCs w:val="20"/>
              </w:rPr>
              <w:t>Idaho</w:t>
            </w:r>
          </w:p>
        </w:tc>
        <w:tc>
          <w:tcPr>
            <w:tcW w:w="7645" w:type="dxa"/>
          </w:tcPr>
          <w:p w:rsidR="0038129A" w:rsidRPr="003513A1" w:rsidRDefault="001C37F6" w:rsidP="001C37F6">
            <w:pPr>
              <w:pStyle w:val="Default"/>
              <w:rPr>
                <w:rFonts w:asciiTheme="minorHAnsi" w:hAnsiTheme="minorHAnsi"/>
                <w:sz w:val="20"/>
                <w:szCs w:val="20"/>
              </w:rPr>
            </w:pPr>
            <w:r w:rsidRPr="003513A1">
              <w:rPr>
                <w:rFonts w:asciiTheme="minorHAnsi" w:hAnsiTheme="minorHAnsi"/>
                <w:sz w:val="20"/>
                <w:szCs w:val="20"/>
              </w:rPr>
              <w:t xml:space="preserve">Under </w:t>
            </w:r>
            <w:r w:rsidRPr="003513A1">
              <w:rPr>
                <w:rFonts w:asciiTheme="minorHAnsi" w:hAnsiTheme="minorHAnsi"/>
                <w:bCs/>
                <w:sz w:val="20"/>
                <w:szCs w:val="20"/>
              </w:rPr>
              <w:t>Technical Assistance Regarding Evidence-Based Interventions</w:t>
            </w:r>
            <w:r w:rsidRPr="003513A1">
              <w:rPr>
                <w:rFonts w:asciiTheme="minorHAnsi" w:hAnsiTheme="minorHAnsi"/>
                <w:sz w:val="20"/>
                <w:szCs w:val="20"/>
              </w:rPr>
              <w:t xml:space="preserve"> Includes a section on extended learning time</w:t>
            </w:r>
          </w:p>
        </w:tc>
      </w:tr>
      <w:tr w:rsidR="0038129A" w:rsidRPr="003513A1" w:rsidTr="001C37F6">
        <w:tc>
          <w:tcPr>
            <w:tcW w:w="1435" w:type="dxa"/>
          </w:tcPr>
          <w:p w:rsidR="0038129A" w:rsidRPr="003513A1" w:rsidRDefault="001C37F6" w:rsidP="00F0594C">
            <w:pPr>
              <w:rPr>
                <w:sz w:val="20"/>
                <w:szCs w:val="20"/>
              </w:rPr>
            </w:pPr>
            <w:r w:rsidRPr="003513A1">
              <w:rPr>
                <w:sz w:val="20"/>
                <w:szCs w:val="20"/>
              </w:rPr>
              <w:t>Positive Language</w:t>
            </w:r>
          </w:p>
        </w:tc>
        <w:tc>
          <w:tcPr>
            <w:tcW w:w="1170" w:type="dxa"/>
          </w:tcPr>
          <w:p w:rsidR="0038129A" w:rsidRPr="003513A1" w:rsidRDefault="001C37F6" w:rsidP="00F0594C">
            <w:pPr>
              <w:rPr>
                <w:sz w:val="20"/>
                <w:szCs w:val="20"/>
              </w:rPr>
            </w:pPr>
            <w:r w:rsidRPr="003513A1">
              <w:rPr>
                <w:sz w:val="20"/>
                <w:szCs w:val="20"/>
              </w:rPr>
              <w:t>Idaho</w:t>
            </w:r>
          </w:p>
        </w:tc>
        <w:tc>
          <w:tcPr>
            <w:tcW w:w="7645" w:type="dxa"/>
          </w:tcPr>
          <w:p w:rsidR="001C37F6" w:rsidRPr="003513A1" w:rsidRDefault="001C37F6" w:rsidP="001C37F6">
            <w:pPr>
              <w:pStyle w:val="Default"/>
              <w:rPr>
                <w:rFonts w:asciiTheme="minorHAnsi" w:hAnsiTheme="minorHAnsi"/>
                <w:sz w:val="20"/>
                <w:szCs w:val="20"/>
              </w:rPr>
            </w:pPr>
            <w:r w:rsidRPr="003513A1">
              <w:rPr>
                <w:rFonts w:asciiTheme="minorHAnsi" w:hAnsiTheme="minorHAnsi"/>
                <w:sz w:val="20"/>
                <w:szCs w:val="20"/>
              </w:rPr>
              <w:t>“As a result of Idaho’s slow recovery from the economic recession, LEAs have eliminated many programs (e.g., elective courses, afterschool programs) that contribute to a robust, well-rounded education” (pg 56)</w:t>
            </w:r>
          </w:p>
          <w:p w:rsidR="0038129A" w:rsidRPr="003513A1" w:rsidRDefault="0038129A" w:rsidP="00F0594C">
            <w:pPr>
              <w:rPr>
                <w:sz w:val="20"/>
                <w:szCs w:val="20"/>
              </w:rPr>
            </w:pPr>
          </w:p>
        </w:tc>
      </w:tr>
      <w:tr w:rsidR="001C37F6" w:rsidRPr="003513A1" w:rsidTr="001C37F6">
        <w:tc>
          <w:tcPr>
            <w:tcW w:w="1435" w:type="dxa"/>
          </w:tcPr>
          <w:p w:rsidR="001C37F6" w:rsidRPr="003513A1" w:rsidRDefault="001C37F6" w:rsidP="00F0594C">
            <w:pPr>
              <w:rPr>
                <w:sz w:val="20"/>
                <w:szCs w:val="20"/>
              </w:rPr>
            </w:pPr>
            <w:r w:rsidRPr="003513A1">
              <w:rPr>
                <w:sz w:val="20"/>
                <w:szCs w:val="20"/>
              </w:rPr>
              <w:t>Title IVA on Bullying/Climate</w:t>
            </w:r>
          </w:p>
        </w:tc>
        <w:tc>
          <w:tcPr>
            <w:tcW w:w="1170" w:type="dxa"/>
          </w:tcPr>
          <w:p w:rsidR="001C37F6" w:rsidRPr="003513A1" w:rsidRDefault="001C37F6" w:rsidP="00F0594C">
            <w:pPr>
              <w:rPr>
                <w:sz w:val="20"/>
                <w:szCs w:val="20"/>
              </w:rPr>
            </w:pPr>
            <w:r w:rsidRPr="003513A1">
              <w:rPr>
                <w:sz w:val="20"/>
                <w:szCs w:val="20"/>
              </w:rPr>
              <w:t>Idaho</w:t>
            </w:r>
          </w:p>
        </w:tc>
        <w:tc>
          <w:tcPr>
            <w:tcW w:w="7645" w:type="dxa"/>
          </w:tcPr>
          <w:p w:rsidR="001C37F6" w:rsidRPr="003513A1" w:rsidRDefault="001C37F6" w:rsidP="001C37F6">
            <w:pPr>
              <w:pStyle w:val="Default"/>
              <w:rPr>
                <w:rFonts w:asciiTheme="minorHAnsi" w:hAnsiTheme="minorHAnsi"/>
                <w:sz w:val="20"/>
                <w:szCs w:val="20"/>
              </w:rPr>
            </w:pPr>
            <w:r w:rsidRPr="003513A1">
              <w:rPr>
                <w:rFonts w:asciiTheme="minorHAnsi" w:hAnsiTheme="minorHAnsi"/>
                <w:sz w:val="20"/>
                <w:szCs w:val="20"/>
              </w:rPr>
              <w:t xml:space="preserve">The legislature has also appropriated $4 million (ongoing) in formula funds to establish safe and drug free schools. These funds can be leveraged to establish optimal conditions for learning, improve school climate, implement special programs and explore alternatives to suspension and expulsion. In an effort to maximize these resources and assist LEAs in implementing best practices, ISDE hosts an annual conference focused on the prevention of risk behaviors, out of school time programs, and family/community engagement called the </w:t>
            </w:r>
            <w:r w:rsidRPr="003513A1">
              <w:rPr>
                <w:rFonts w:asciiTheme="minorHAnsi" w:hAnsiTheme="minorHAnsi"/>
                <w:i/>
                <w:iCs/>
                <w:sz w:val="20"/>
                <w:szCs w:val="20"/>
              </w:rPr>
              <w:t>Idaho Prevention and Support Conference.</w:t>
            </w:r>
          </w:p>
        </w:tc>
      </w:tr>
      <w:tr w:rsidR="003A3DCC" w:rsidRPr="003513A1" w:rsidTr="001C37F6">
        <w:tc>
          <w:tcPr>
            <w:tcW w:w="1435" w:type="dxa"/>
          </w:tcPr>
          <w:p w:rsidR="003A3DCC" w:rsidRPr="003513A1" w:rsidRDefault="003A3DCC" w:rsidP="00F0594C">
            <w:pPr>
              <w:rPr>
                <w:sz w:val="20"/>
                <w:szCs w:val="20"/>
              </w:rPr>
            </w:pPr>
            <w:r w:rsidRPr="003513A1">
              <w:rPr>
                <w:sz w:val="20"/>
                <w:szCs w:val="20"/>
              </w:rPr>
              <w:t>Evidence Base</w:t>
            </w:r>
          </w:p>
        </w:tc>
        <w:tc>
          <w:tcPr>
            <w:tcW w:w="1170" w:type="dxa"/>
          </w:tcPr>
          <w:p w:rsidR="003A3DCC" w:rsidRPr="003513A1" w:rsidRDefault="003A3DCC" w:rsidP="00F0594C">
            <w:pPr>
              <w:rPr>
                <w:sz w:val="20"/>
                <w:szCs w:val="20"/>
              </w:rPr>
            </w:pPr>
            <w:r w:rsidRPr="003513A1">
              <w:rPr>
                <w:sz w:val="20"/>
                <w:szCs w:val="20"/>
              </w:rPr>
              <w:t>Washington</w:t>
            </w:r>
          </w:p>
        </w:tc>
        <w:tc>
          <w:tcPr>
            <w:tcW w:w="7645" w:type="dxa"/>
          </w:tcPr>
          <w:p w:rsidR="003A3DCC" w:rsidRPr="003513A1" w:rsidRDefault="003A3DCC" w:rsidP="003A3DCC">
            <w:pPr>
              <w:pStyle w:val="Default"/>
              <w:rPr>
                <w:rFonts w:asciiTheme="minorHAnsi" w:hAnsiTheme="minorHAnsi"/>
                <w:sz w:val="20"/>
                <w:szCs w:val="20"/>
              </w:rPr>
            </w:pPr>
            <w:r w:rsidRPr="003513A1">
              <w:rPr>
                <w:rFonts w:asciiTheme="minorHAnsi" w:hAnsiTheme="minorHAnsi"/>
                <w:sz w:val="20"/>
                <w:szCs w:val="20"/>
              </w:rPr>
              <w:t xml:space="preserve">ESSA plan references a state </w:t>
            </w:r>
            <w:hyperlink r:id="rId5" w:history="1">
              <w:r w:rsidRPr="003513A1">
                <w:rPr>
                  <w:rStyle w:val="Hyperlink"/>
                  <w:rFonts w:asciiTheme="minorHAnsi" w:hAnsiTheme="minorHAnsi"/>
                  <w:sz w:val="20"/>
                  <w:szCs w:val="20"/>
                </w:rPr>
                <w:t>collected list of evidence based strategies (Menus)</w:t>
              </w:r>
            </w:hyperlink>
            <w:r w:rsidRPr="003513A1">
              <w:rPr>
                <w:rFonts w:asciiTheme="minorHAnsi" w:hAnsiTheme="minorHAnsi"/>
                <w:sz w:val="20"/>
                <w:szCs w:val="20"/>
              </w:rPr>
              <w:t xml:space="preserve"> for ELA, Math and Behavior updated in July 2016:</w:t>
            </w:r>
          </w:p>
          <w:p w:rsidR="003A3DCC" w:rsidRPr="003513A1" w:rsidRDefault="003A3DCC" w:rsidP="003A3DCC">
            <w:pPr>
              <w:pStyle w:val="Default"/>
              <w:rPr>
                <w:rFonts w:asciiTheme="minorHAnsi" w:hAnsiTheme="minorHAnsi"/>
                <w:sz w:val="20"/>
                <w:szCs w:val="20"/>
              </w:rPr>
            </w:pPr>
          </w:p>
          <w:p w:rsidR="003A3DCC" w:rsidRDefault="003A3DCC" w:rsidP="003A3DCC">
            <w:pPr>
              <w:pStyle w:val="Default"/>
              <w:numPr>
                <w:ilvl w:val="0"/>
                <w:numId w:val="2"/>
              </w:numPr>
              <w:adjustRightInd/>
              <w:rPr>
                <w:rFonts w:asciiTheme="minorHAnsi" w:hAnsiTheme="minorHAnsi"/>
                <w:i/>
                <w:iCs/>
                <w:sz w:val="20"/>
                <w:szCs w:val="20"/>
              </w:rPr>
            </w:pPr>
            <w:r w:rsidRPr="003513A1">
              <w:rPr>
                <w:rFonts w:asciiTheme="minorHAnsi" w:hAnsiTheme="minorHAnsi"/>
                <w:i/>
                <w:iCs/>
                <w:sz w:val="20"/>
                <w:szCs w:val="20"/>
              </w:rPr>
              <w:t xml:space="preserve">“All schools identified for improvement </w:t>
            </w:r>
            <w:r w:rsidRPr="003513A1">
              <w:rPr>
                <w:rFonts w:asciiTheme="minorHAnsi" w:hAnsiTheme="minorHAnsi"/>
                <w:i/>
                <w:iCs/>
                <w:sz w:val="20"/>
                <w:szCs w:val="20"/>
                <w:u w:val="single"/>
              </w:rPr>
              <w:t>will be required</w:t>
            </w:r>
            <w:r w:rsidRPr="003513A1">
              <w:rPr>
                <w:rFonts w:asciiTheme="minorHAnsi" w:hAnsiTheme="minorHAnsi"/>
                <w:i/>
                <w:iCs/>
                <w:sz w:val="20"/>
                <w:szCs w:val="20"/>
              </w:rPr>
              <w:t xml:space="preserve"> to use evidence-based practices as defined in the state’s Menus of Best Practices for Mathematics, English Language Arts (ELA), and Behavior. The menus offer evidence-based interventions to assist students who are struggling”</w:t>
            </w:r>
          </w:p>
          <w:p w:rsidR="003513A1" w:rsidRPr="003513A1" w:rsidRDefault="003513A1" w:rsidP="003513A1">
            <w:pPr>
              <w:pStyle w:val="Default"/>
              <w:adjustRightInd/>
              <w:ind w:left="720"/>
              <w:rPr>
                <w:rFonts w:asciiTheme="minorHAnsi" w:hAnsiTheme="minorHAnsi"/>
                <w:i/>
                <w:iCs/>
                <w:sz w:val="20"/>
                <w:szCs w:val="20"/>
              </w:rPr>
            </w:pPr>
          </w:p>
          <w:p w:rsidR="003A3DCC" w:rsidRPr="003513A1" w:rsidRDefault="003A3DCC" w:rsidP="003513A1">
            <w:pPr>
              <w:rPr>
                <w:sz w:val="20"/>
                <w:szCs w:val="20"/>
              </w:rPr>
            </w:pPr>
            <w:r w:rsidRPr="003513A1">
              <w:rPr>
                <w:sz w:val="20"/>
                <w:szCs w:val="20"/>
              </w:rPr>
              <w:t xml:space="preserve">Before-After School Programs Before and after school programs are evidence-based. Research emphasizes the importance of high quality out of school time learning opportunities for children's academic success in school, as well as their health and wellbeing. Out of School Time (OST) programs can support and promote academics, socialization, sports, and safe environments for children before and after school, on Saturdays, and during scheduled school breaks. Programs that focus on emerging foundational literacy skills and on-going speaking, listening, writing, and reading skill development can significantly impact student learning outcomes. </w:t>
            </w:r>
          </w:p>
        </w:tc>
      </w:tr>
      <w:tr w:rsidR="00226A2B" w:rsidRPr="003513A1" w:rsidTr="001C37F6">
        <w:tc>
          <w:tcPr>
            <w:tcW w:w="1435" w:type="dxa"/>
          </w:tcPr>
          <w:p w:rsidR="00226A2B" w:rsidRPr="003513A1" w:rsidRDefault="00226A2B" w:rsidP="00F0594C">
            <w:pPr>
              <w:rPr>
                <w:sz w:val="20"/>
                <w:szCs w:val="20"/>
              </w:rPr>
            </w:pPr>
            <w:r w:rsidRPr="003513A1">
              <w:rPr>
                <w:sz w:val="20"/>
                <w:szCs w:val="20"/>
              </w:rPr>
              <w:t>ELL (Title III)</w:t>
            </w:r>
          </w:p>
        </w:tc>
        <w:tc>
          <w:tcPr>
            <w:tcW w:w="1170" w:type="dxa"/>
          </w:tcPr>
          <w:p w:rsidR="00226A2B" w:rsidRPr="003513A1" w:rsidRDefault="00226A2B" w:rsidP="00F0594C">
            <w:pPr>
              <w:rPr>
                <w:sz w:val="20"/>
                <w:szCs w:val="20"/>
              </w:rPr>
            </w:pPr>
            <w:r w:rsidRPr="003513A1">
              <w:rPr>
                <w:sz w:val="20"/>
                <w:szCs w:val="20"/>
              </w:rPr>
              <w:t>Hawaii</w:t>
            </w:r>
          </w:p>
        </w:tc>
        <w:tc>
          <w:tcPr>
            <w:tcW w:w="7645" w:type="dxa"/>
          </w:tcPr>
          <w:p w:rsidR="00226A2B" w:rsidRPr="003513A1" w:rsidRDefault="00226A2B" w:rsidP="00226A2B">
            <w:pPr>
              <w:autoSpaceDE w:val="0"/>
              <w:autoSpaceDN w:val="0"/>
              <w:adjustRightInd w:val="0"/>
              <w:rPr>
                <w:rFonts w:cs="TimesNewRomanPSMT"/>
                <w:sz w:val="20"/>
                <w:szCs w:val="20"/>
              </w:rPr>
            </w:pPr>
            <w:r w:rsidRPr="003513A1">
              <w:rPr>
                <w:rFonts w:cs="TimesNewRomanPSMT"/>
                <w:sz w:val="20"/>
                <w:szCs w:val="20"/>
              </w:rPr>
              <w:t>Pg 87- State will collaborate to provide the following for ELL</w:t>
            </w:r>
          </w:p>
          <w:p w:rsidR="00226A2B" w:rsidRPr="003513A1" w:rsidRDefault="00226A2B" w:rsidP="00226A2B">
            <w:pPr>
              <w:pStyle w:val="ListParagraph"/>
              <w:numPr>
                <w:ilvl w:val="0"/>
                <w:numId w:val="2"/>
              </w:numPr>
              <w:autoSpaceDE w:val="0"/>
              <w:autoSpaceDN w:val="0"/>
              <w:adjustRightInd w:val="0"/>
              <w:rPr>
                <w:rFonts w:cs="TimesNewRomanPSMT"/>
                <w:sz w:val="20"/>
                <w:szCs w:val="20"/>
              </w:rPr>
            </w:pPr>
            <w:r w:rsidRPr="003513A1">
              <w:rPr>
                <w:rFonts w:cs="TimesNewRomanPSMT"/>
                <w:sz w:val="20"/>
                <w:szCs w:val="20"/>
              </w:rPr>
              <w:t>Parent Engagement Activities</w:t>
            </w:r>
          </w:p>
          <w:p w:rsidR="00226A2B" w:rsidRPr="003513A1" w:rsidRDefault="00226A2B" w:rsidP="00226A2B">
            <w:pPr>
              <w:pStyle w:val="ListParagraph"/>
              <w:numPr>
                <w:ilvl w:val="0"/>
                <w:numId w:val="2"/>
              </w:numPr>
              <w:autoSpaceDE w:val="0"/>
              <w:autoSpaceDN w:val="0"/>
              <w:adjustRightInd w:val="0"/>
              <w:rPr>
                <w:rFonts w:cs="TimesNewRomanPSMT"/>
                <w:sz w:val="20"/>
                <w:szCs w:val="20"/>
              </w:rPr>
            </w:pPr>
            <w:r w:rsidRPr="003513A1">
              <w:rPr>
                <w:rFonts w:cs="TimesNewRomanPSMT"/>
                <w:sz w:val="20"/>
                <w:szCs w:val="20"/>
              </w:rPr>
              <w:t>Extended Learning Opportunities for students beyond the</w:t>
            </w:r>
          </w:p>
          <w:p w:rsidR="00226A2B" w:rsidRPr="003513A1" w:rsidRDefault="00226A2B" w:rsidP="00226A2B">
            <w:pPr>
              <w:pStyle w:val="ListParagraph"/>
              <w:autoSpaceDE w:val="0"/>
              <w:autoSpaceDN w:val="0"/>
              <w:adjustRightInd w:val="0"/>
              <w:rPr>
                <w:rFonts w:cs="TimesNewRomanPSMT"/>
                <w:sz w:val="20"/>
                <w:szCs w:val="20"/>
              </w:rPr>
            </w:pPr>
            <w:r w:rsidRPr="003513A1">
              <w:rPr>
                <w:rFonts w:cs="TimesNewRomanPSMT"/>
                <w:sz w:val="20"/>
                <w:szCs w:val="20"/>
              </w:rPr>
              <w:t>school day (e.g., after school, during the intersession, and</w:t>
            </w:r>
          </w:p>
          <w:p w:rsidR="00226A2B" w:rsidRPr="003513A1" w:rsidRDefault="00226A2B" w:rsidP="00226A2B">
            <w:pPr>
              <w:pStyle w:val="ListParagraph"/>
              <w:autoSpaceDE w:val="0"/>
              <w:autoSpaceDN w:val="0"/>
              <w:adjustRightInd w:val="0"/>
              <w:rPr>
                <w:rFonts w:cs="TimesNewRomanPSMT"/>
                <w:sz w:val="20"/>
                <w:szCs w:val="20"/>
              </w:rPr>
            </w:pPr>
            <w:r w:rsidRPr="003513A1">
              <w:rPr>
                <w:rFonts w:cs="TimesNewRomanPSMT"/>
                <w:sz w:val="20"/>
                <w:szCs w:val="20"/>
              </w:rPr>
              <w:t>during the summer)</w:t>
            </w:r>
          </w:p>
          <w:p w:rsidR="00226A2B" w:rsidRPr="003513A1" w:rsidRDefault="00226A2B" w:rsidP="00226A2B">
            <w:pPr>
              <w:pStyle w:val="ListParagraph"/>
              <w:numPr>
                <w:ilvl w:val="0"/>
                <w:numId w:val="2"/>
              </w:numPr>
              <w:autoSpaceDE w:val="0"/>
              <w:autoSpaceDN w:val="0"/>
              <w:adjustRightInd w:val="0"/>
              <w:rPr>
                <w:rFonts w:cs="TimesNewRomanPSMT"/>
                <w:sz w:val="20"/>
                <w:szCs w:val="20"/>
              </w:rPr>
            </w:pPr>
            <w:r w:rsidRPr="003513A1">
              <w:rPr>
                <w:rFonts w:cs="TimesNewRomanPSMT"/>
                <w:sz w:val="20"/>
                <w:szCs w:val="20"/>
              </w:rPr>
              <w:t>English Language Development software to support students</w:t>
            </w:r>
          </w:p>
          <w:p w:rsidR="00226A2B" w:rsidRPr="003513A1" w:rsidRDefault="00226A2B" w:rsidP="00226A2B">
            <w:pPr>
              <w:pStyle w:val="ListParagraph"/>
              <w:autoSpaceDE w:val="0"/>
              <w:autoSpaceDN w:val="0"/>
              <w:adjustRightInd w:val="0"/>
              <w:rPr>
                <w:rFonts w:cs="TimesNewRomanPSMT"/>
                <w:sz w:val="20"/>
                <w:szCs w:val="20"/>
              </w:rPr>
            </w:pPr>
            <w:r w:rsidRPr="003513A1">
              <w:rPr>
                <w:rFonts w:cs="TimesNewRomanPSMT"/>
                <w:sz w:val="20"/>
                <w:szCs w:val="20"/>
              </w:rPr>
              <w:t>in ELOs and enrich the core English Learner Programs</w:t>
            </w:r>
          </w:p>
        </w:tc>
      </w:tr>
      <w:tr w:rsidR="00226A2B" w:rsidRPr="003513A1" w:rsidTr="001C37F6">
        <w:tc>
          <w:tcPr>
            <w:tcW w:w="1435" w:type="dxa"/>
          </w:tcPr>
          <w:p w:rsidR="00226A2B" w:rsidRPr="003513A1" w:rsidRDefault="00226A2B" w:rsidP="00F0594C">
            <w:pPr>
              <w:rPr>
                <w:sz w:val="20"/>
                <w:szCs w:val="20"/>
              </w:rPr>
            </w:pPr>
            <w:r w:rsidRPr="003513A1">
              <w:rPr>
                <w:sz w:val="20"/>
                <w:szCs w:val="20"/>
              </w:rPr>
              <w:t>Title IV A</w:t>
            </w:r>
          </w:p>
        </w:tc>
        <w:tc>
          <w:tcPr>
            <w:tcW w:w="1170" w:type="dxa"/>
          </w:tcPr>
          <w:p w:rsidR="00226A2B" w:rsidRPr="003513A1" w:rsidRDefault="00226A2B" w:rsidP="00F0594C">
            <w:pPr>
              <w:rPr>
                <w:sz w:val="20"/>
                <w:szCs w:val="20"/>
              </w:rPr>
            </w:pPr>
            <w:r w:rsidRPr="003513A1">
              <w:rPr>
                <w:sz w:val="20"/>
                <w:szCs w:val="20"/>
              </w:rPr>
              <w:t>Hawaii</w:t>
            </w:r>
          </w:p>
        </w:tc>
        <w:tc>
          <w:tcPr>
            <w:tcW w:w="7645" w:type="dxa"/>
          </w:tcPr>
          <w:p w:rsidR="00226A2B" w:rsidRPr="003513A1" w:rsidRDefault="00226A2B" w:rsidP="00226A2B">
            <w:pPr>
              <w:autoSpaceDE w:val="0"/>
              <w:autoSpaceDN w:val="0"/>
              <w:adjustRightInd w:val="0"/>
              <w:rPr>
                <w:rFonts w:cs="TimesNewRomanPSMT"/>
                <w:sz w:val="20"/>
                <w:szCs w:val="20"/>
              </w:rPr>
            </w:pPr>
            <w:r w:rsidRPr="003513A1">
              <w:rPr>
                <w:rFonts w:cs="TimesNewRomanPSMT"/>
                <w:sz w:val="20"/>
                <w:szCs w:val="20"/>
              </w:rPr>
              <w:t>Hawaii’s main strategy is to focus on the whole child through an increased attention to social-emotional learning as well as through family, community and industry partnerships. Goal 2 focuses on being equity based and removing barriers to learning which includes “access to quality learning experiences for all children (out of school time) pg 93. “Through this community schools model, students’ belonging, learning, character, and wellbeing are addressed through interconnected networks of coordinated academic, instructional, and social and emotional supports. The heart of this model – and its success– is grounded in structures and processes aimed at the building of strong, trusting and caring relationships.</w:t>
            </w:r>
          </w:p>
        </w:tc>
      </w:tr>
    </w:tbl>
    <w:p w:rsidR="0038129A" w:rsidRPr="00F0594C" w:rsidRDefault="0038129A" w:rsidP="00F0594C">
      <w:pPr>
        <w:rPr>
          <w:b/>
        </w:rPr>
      </w:pPr>
    </w:p>
    <w:sectPr w:rsidR="0038129A" w:rsidRPr="00F0594C" w:rsidSect="00881CD2">
      <w:pgSz w:w="12240" w:h="15840"/>
      <w:pgMar w:top="450" w:right="90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6B3C"/>
    <w:multiLevelType w:val="hybridMultilevel"/>
    <w:tmpl w:val="4E3E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1C16F7"/>
    <w:multiLevelType w:val="hybridMultilevel"/>
    <w:tmpl w:val="6D70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C"/>
    <w:rsid w:val="0004506C"/>
    <w:rsid w:val="00066BC9"/>
    <w:rsid w:val="000E74BB"/>
    <w:rsid w:val="001062CE"/>
    <w:rsid w:val="0012595D"/>
    <w:rsid w:val="00145E17"/>
    <w:rsid w:val="00170FE1"/>
    <w:rsid w:val="001A038B"/>
    <w:rsid w:val="001C37F6"/>
    <w:rsid w:val="00226A2B"/>
    <w:rsid w:val="002404F9"/>
    <w:rsid w:val="00260D91"/>
    <w:rsid w:val="002F15B4"/>
    <w:rsid w:val="00306A0C"/>
    <w:rsid w:val="00324444"/>
    <w:rsid w:val="003513A1"/>
    <w:rsid w:val="003565D6"/>
    <w:rsid w:val="00367D20"/>
    <w:rsid w:val="003725E3"/>
    <w:rsid w:val="003758DD"/>
    <w:rsid w:val="0038129A"/>
    <w:rsid w:val="003A34C2"/>
    <w:rsid w:val="003A3DCC"/>
    <w:rsid w:val="003C7B83"/>
    <w:rsid w:val="003D4146"/>
    <w:rsid w:val="003E0A8A"/>
    <w:rsid w:val="003F092D"/>
    <w:rsid w:val="00401E01"/>
    <w:rsid w:val="00435BE4"/>
    <w:rsid w:val="004808D8"/>
    <w:rsid w:val="004A4168"/>
    <w:rsid w:val="004F6504"/>
    <w:rsid w:val="00571F25"/>
    <w:rsid w:val="005764E0"/>
    <w:rsid w:val="005A659C"/>
    <w:rsid w:val="005C6227"/>
    <w:rsid w:val="006542F9"/>
    <w:rsid w:val="00662F68"/>
    <w:rsid w:val="006771D7"/>
    <w:rsid w:val="006809AC"/>
    <w:rsid w:val="006B295A"/>
    <w:rsid w:val="006C374B"/>
    <w:rsid w:val="006C7C08"/>
    <w:rsid w:val="006F55B5"/>
    <w:rsid w:val="007146A3"/>
    <w:rsid w:val="0073429A"/>
    <w:rsid w:val="0073626E"/>
    <w:rsid w:val="00741402"/>
    <w:rsid w:val="00743BFF"/>
    <w:rsid w:val="00751895"/>
    <w:rsid w:val="007A3078"/>
    <w:rsid w:val="007B5371"/>
    <w:rsid w:val="00800378"/>
    <w:rsid w:val="00807CC6"/>
    <w:rsid w:val="00881CD2"/>
    <w:rsid w:val="008925A5"/>
    <w:rsid w:val="00893D3A"/>
    <w:rsid w:val="008963B7"/>
    <w:rsid w:val="008C38FC"/>
    <w:rsid w:val="00924EA9"/>
    <w:rsid w:val="009463BF"/>
    <w:rsid w:val="009679E7"/>
    <w:rsid w:val="009976B5"/>
    <w:rsid w:val="009A078E"/>
    <w:rsid w:val="009A2B2F"/>
    <w:rsid w:val="009A3076"/>
    <w:rsid w:val="009A6BD7"/>
    <w:rsid w:val="009C43D2"/>
    <w:rsid w:val="009C7609"/>
    <w:rsid w:val="009C7A17"/>
    <w:rsid w:val="009D19C7"/>
    <w:rsid w:val="009E0991"/>
    <w:rsid w:val="00A9411F"/>
    <w:rsid w:val="00AA2CA8"/>
    <w:rsid w:val="00AE7114"/>
    <w:rsid w:val="00B06D07"/>
    <w:rsid w:val="00B53F64"/>
    <w:rsid w:val="00B66B9A"/>
    <w:rsid w:val="00B85AD9"/>
    <w:rsid w:val="00BF2432"/>
    <w:rsid w:val="00C13FC7"/>
    <w:rsid w:val="00C23465"/>
    <w:rsid w:val="00C36163"/>
    <w:rsid w:val="00C42112"/>
    <w:rsid w:val="00C54335"/>
    <w:rsid w:val="00CA1E6F"/>
    <w:rsid w:val="00CF3487"/>
    <w:rsid w:val="00D02764"/>
    <w:rsid w:val="00D22C4E"/>
    <w:rsid w:val="00D86A75"/>
    <w:rsid w:val="00DB69C7"/>
    <w:rsid w:val="00DD7EE3"/>
    <w:rsid w:val="00DF38BE"/>
    <w:rsid w:val="00DF4C8B"/>
    <w:rsid w:val="00DF626B"/>
    <w:rsid w:val="00E037A3"/>
    <w:rsid w:val="00E4277B"/>
    <w:rsid w:val="00F0594C"/>
    <w:rsid w:val="00F57D29"/>
    <w:rsid w:val="00F93706"/>
    <w:rsid w:val="00FD2C68"/>
    <w:rsid w:val="00FF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26D9F-17A4-453F-BFAE-FB82460A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BC9"/>
    <w:pPr>
      <w:ind w:left="720"/>
      <w:contextualSpacing/>
    </w:pPr>
  </w:style>
  <w:style w:type="paragraph" w:customStyle="1" w:styleId="Default">
    <w:name w:val="Default"/>
    <w:rsid w:val="001C37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A3D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3381">
      <w:bodyDiv w:val="1"/>
      <w:marLeft w:val="0"/>
      <w:marRight w:val="0"/>
      <w:marTop w:val="0"/>
      <w:marBottom w:val="0"/>
      <w:divBdr>
        <w:top w:val="none" w:sz="0" w:space="0" w:color="auto"/>
        <w:left w:val="none" w:sz="0" w:space="0" w:color="auto"/>
        <w:bottom w:val="none" w:sz="0" w:space="0" w:color="auto"/>
        <w:right w:val="none" w:sz="0" w:space="0" w:color="auto"/>
      </w:divBdr>
    </w:div>
    <w:div w:id="843133368">
      <w:bodyDiv w:val="1"/>
      <w:marLeft w:val="0"/>
      <w:marRight w:val="0"/>
      <w:marTop w:val="0"/>
      <w:marBottom w:val="0"/>
      <w:divBdr>
        <w:top w:val="none" w:sz="0" w:space="0" w:color="auto"/>
        <w:left w:val="none" w:sz="0" w:space="0" w:color="auto"/>
        <w:bottom w:val="none" w:sz="0" w:space="0" w:color="auto"/>
        <w:right w:val="none" w:sz="0" w:space="0" w:color="auto"/>
      </w:divBdr>
    </w:div>
    <w:div w:id="14346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12.wa.us/SSEO/Menu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7D44137D</Template>
  <TotalTime>695</TotalTime>
  <Pages>1</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Luchner</dc:creator>
  <cp:keywords/>
  <dc:description/>
  <cp:lastModifiedBy>Jillian Luchner</cp:lastModifiedBy>
  <cp:revision>4</cp:revision>
  <dcterms:created xsi:type="dcterms:W3CDTF">2017-04-21T20:38:00Z</dcterms:created>
  <dcterms:modified xsi:type="dcterms:W3CDTF">2017-05-19T18:06:00Z</dcterms:modified>
</cp:coreProperties>
</file>